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绍兴市口腔医院关于其他物资采购项目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ZJFY-20230031</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绍兴市口腔医院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1154316"/>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浙江泛亚工程咨询有限公司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三</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十二</w:t>
            </w:r>
            <w:r>
              <w:rPr>
                <w:rFonts w:hint="eastAsia" w:ascii="仿宋" w:hAnsi="仿宋" w:eastAsia="仿宋" w:cs="仿宋"/>
                <w:color w:val="auto"/>
                <w:sz w:val="28"/>
                <w:szCs w:val="28"/>
                <w:highlight w:val="none"/>
              </w:rPr>
              <w:t>月</w:t>
            </w:r>
          </w:p>
        </w:tc>
      </w:tr>
    </w:tbl>
    <w:p>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绍兴市口腔医院关于其他物资采购项目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3</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ZJFY-20230031</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绍兴市口腔医院关于其他物资采购项目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500000.00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500000.00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eastAsia="zh-CN"/>
        </w:rPr>
        <w:t>绍兴市口腔医院关于其他物资采购项目</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500000.00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按双方合同约定条款执行</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val="0"/>
          <w:bCs/>
          <w:color w:val="auto"/>
          <w:sz w:val="24"/>
          <w:highlight w:val="none"/>
        </w:rPr>
        <w:t>是。</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val="0"/>
          <w:bCs w:val="0"/>
          <w:color w:val="auto"/>
          <w:sz w:val="24"/>
          <w:highlight w:val="none"/>
          <w:u w:val="single"/>
          <w:lang w:val="en-US" w:eastAsia="zh-CN"/>
        </w:rPr>
        <w:t>/</w:t>
      </w:r>
      <w:r>
        <w:rPr>
          <w:rFonts w:hint="eastAsia" w:ascii="仿宋" w:hAnsi="仿宋" w:eastAsia="仿宋" w:cs="仿宋"/>
          <w:b w:val="0"/>
          <w:bCs w:val="0"/>
          <w:color w:val="auto"/>
          <w:sz w:val="24"/>
          <w:highlight w:val="none"/>
          <w:u w:val="singl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r>
        <w:rPr>
          <w:rFonts w:hint="eastAsia" w:ascii="仿宋" w:hAnsi="仿宋" w:eastAsia="仿宋" w:cs="仿宋"/>
          <w:color w:val="auto"/>
          <w:sz w:val="24"/>
          <w:highlight w:val="none"/>
          <w:lang w:eastAsia="zh-CN"/>
        </w:rPr>
        <w:t>，绍兴市越城区稽山街道天姥路5号楼2幢2楼201室（浙江泛亚工程咨询有限公司）</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806"/>
      <w:bookmarkStart w:id="7" w:name="_Toc35393637"/>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绍兴市口腔医院</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址：绍兴市延安东路399号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u w:val="none"/>
        </w:rPr>
        <w:t>何银俭</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u w:val="none"/>
        </w:rPr>
        <w:t>0575-88551138</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毛宇昕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质疑联系方式：0575-88551156</w:t>
      </w:r>
    </w:p>
    <w:p>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28359020"/>
      <w:bookmarkStart w:id="11" w:name="_Toc35393807"/>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称：浙江泛亚工程咨询有限公司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址：绍兴市越城区稽山街道天姥路5号楼2幢2楼201室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项目联系人（询问）：王伟</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项目联系方式（询问）：13858435067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质疑联系人：丁燕华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8258004530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35393808"/>
      <w:bookmarkStart w:id="15" w:name="_Toc2835909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1623"/>
        <w:gridCol w:w="5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投标人按照项目要求特许资格、资信证明文件（如果有）：</w:t>
            </w: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3"/>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3"/>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b/>
                <w:bCs/>
                <w:snapToGrid w:val="0"/>
                <w:color w:val="auto"/>
                <w:kern w:val="28"/>
                <w:sz w:val="24"/>
                <w:highlight w:val="none"/>
                <w:u w:val="single"/>
              </w:rPr>
              <w:t>器械消毒盒、三用枪喷嘴、手机清洗润滑油、一次性塑料牙托、器械管理盒</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lang w:val="en-US" w:eastAsia="zh-CN"/>
              </w:rPr>
              <w:t>详见招标文件</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开标时间前</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rPr>
              <w:t>绍兴市越城区稽山街道天姥路5号楼2幢2楼201室（浙江泛亚工程咨询有限公司）</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金颖</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15967581709</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3"/>
            <w:vAlign w:val="center"/>
          </w:tcPr>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30</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方式二：现场</w:t>
            </w:r>
            <w:r>
              <w:rPr>
                <w:rFonts w:hint="eastAsia" w:ascii="仿宋" w:hAnsi="仿宋" w:eastAsia="仿宋" w:cs="仿宋"/>
                <w:color w:val="auto"/>
                <w:sz w:val="24"/>
                <w:szCs w:val="24"/>
                <w:highlight w:val="none"/>
                <w:lang w:val="en-US" w:eastAsia="zh-CN"/>
              </w:rPr>
              <w:t>视频</w:t>
            </w:r>
            <w:r>
              <w:rPr>
                <w:rFonts w:hint="eastAsia" w:ascii="仿宋" w:hAnsi="仿宋" w:eastAsia="仿宋" w:cs="仿宋"/>
                <w:color w:val="auto"/>
                <w:sz w:val="24"/>
                <w:szCs w:val="24"/>
                <w:highlight w:val="none"/>
                <w:lang w:val="zh-CN"/>
              </w:rPr>
              <w:t>演示。</w:t>
            </w:r>
            <w:r>
              <w:rPr>
                <w:rFonts w:hint="eastAsia" w:ascii="仿宋" w:hAnsi="仿宋" w:eastAsia="仿宋" w:cs="仿宋"/>
                <w:color w:val="auto"/>
                <w:sz w:val="24"/>
                <w:szCs w:val="24"/>
                <w:highlight w:val="none"/>
                <w:lang w:val="en-US" w:eastAsia="zh-CN"/>
              </w:rPr>
              <w:t>视频</w:t>
            </w:r>
            <w:r>
              <w:rPr>
                <w:rFonts w:hint="eastAsia" w:ascii="仿宋" w:hAnsi="仿宋" w:eastAsia="仿宋" w:cs="仿宋"/>
                <w:color w:val="auto"/>
                <w:sz w:val="24"/>
                <w:szCs w:val="24"/>
                <w:highlight w:val="none"/>
                <w:lang w:val="zh-CN"/>
              </w:rPr>
              <w:t>讲解地点为</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szCs w:val="24"/>
                <w:highlight w:val="none"/>
                <w:lang w:val="zh-CN"/>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2478"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5892"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b/>
                <w:bCs/>
                <w:snapToGrid w:val="0"/>
                <w:color w:val="auto"/>
                <w:kern w:val="28"/>
                <w:sz w:val="24"/>
                <w:highlight w:val="none"/>
                <w:u w:val="single"/>
              </w:rPr>
              <w:t>器械消毒盒</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2478"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5892"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val="en-US" w:eastAsia="zh-CN"/>
              </w:rPr>
              <w:t xml:space="preserve"> 01标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b/>
                <w:bCs/>
                <w:color w:val="auto"/>
                <w:sz w:val="24"/>
                <w:highlight w:val="none"/>
                <w:u w:val="single"/>
                <w:lang w:val="en-US" w:eastAsia="zh-CN"/>
              </w:rPr>
              <w:t>批发业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特别说明：</w:t>
            </w: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中标供应商须向采购代理机构按如下标准和规定交纳代理服务费：</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①以中标通知书中确定的中标总金额作为服务费的计算基数，具体比例参照《国家计委关于印发&lt;招标代理服务收费管理暂行办法&gt;的通知》（计价格[2002]1980号）文件收费标准*56%收取；本项目代理服务费不足2000元的，按2000元计算。最终代理服务费收费标准以招标代理与业主签订的合同为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用银行支票、汇票、电汇、现金等付款方式直接交纳代理服务费。</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公司名称：浙江泛亚工程咨询有限公司</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开户行：中国建设银行杭州西湖支行</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账  号：33001619635050000853</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3.2 </w:t>
      </w:r>
      <w:r>
        <w:rPr>
          <w:rFonts w:hint="eastAsia" w:ascii="仿宋" w:hAnsi="仿宋" w:eastAsia="仿宋" w:cs="仿宋"/>
          <w:color w:val="auto"/>
          <w:sz w:val="24"/>
          <w:highlight w:val="none"/>
        </w:rPr>
        <w:t>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w:t>
      </w:r>
      <w:r>
        <w:rPr>
          <w:rFonts w:hint="eastAsia" w:ascii="仿宋" w:hAnsi="仿宋" w:eastAsia="仿宋" w:cs="仿宋"/>
          <w:color w:val="auto"/>
          <w:sz w:val="24"/>
          <w:highlight w:val="none"/>
        </w:rPr>
        <w:t>3</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rPr>
        <w:t>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w:t>
      </w:r>
      <w:r>
        <w:rPr>
          <w:rFonts w:hint="eastAsia" w:ascii="仿宋" w:hAnsi="仿宋" w:eastAsia="仿宋" w:cs="仿宋"/>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1.4.1</w:t>
      </w:r>
      <w:r>
        <w:rPr>
          <w:rFonts w:hint="eastAsia" w:ascii="仿宋" w:hAnsi="仿宋" w:eastAsia="仿宋" w:cs="仿宋"/>
          <w:color w:val="auto"/>
          <w:sz w:val="24"/>
          <w:highlight w:val="none"/>
          <w:lang w:eastAsia="zh-CN"/>
        </w:rPr>
        <w:t>中小企业声明函；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1.4.2</w:t>
      </w:r>
      <w:r>
        <w:rPr>
          <w:rFonts w:hint="eastAsia" w:ascii="仿宋" w:hAnsi="仿宋" w:eastAsia="仿宋" w:cs="仿宋"/>
          <w:color w:val="auto"/>
          <w:sz w:val="24"/>
          <w:highlight w:val="none"/>
          <w:lang w:eastAsia="zh-CN"/>
        </w:rPr>
        <w:t>残疾人福利性单位声明函（如果有）。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2.2.1投标函；</w:t>
      </w:r>
      <w:r>
        <w:rPr>
          <w:rFonts w:hint="eastAsia" w:ascii="仿宋" w:hAnsi="仿宋" w:eastAsia="仿宋" w:cs="仿宋"/>
          <w:color w:val="auto"/>
          <w:sz w:val="24"/>
          <w:highlight w:val="none"/>
          <w:lang w:val="zh-CN"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2.2.2法定代表人授权委托书；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2.2.3授权代表社保证明；</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2.2.4法定代表</w:t>
      </w:r>
      <w:r>
        <w:rPr>
          <w:rFonts w:hint="eastAsia" w:ascii="仿宋" w:hAnsi="仿宋" w:eastAsia="仿宋" w:cs="仿宋"/>
          <w:color w:val="auto"/>
          <w:sz w:val="24"/>
          <w:highlight w:val="none"/>
        </w:rPr>
        <w:t>人身份证明书；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3" w:firstLineChars="3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2.2.17未尽事宜请各投标单位按评分标准和相对应标项相关要求制作；</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2.2.18投标人需要说明的其他文件和说明（格式自拟）。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3"/>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eastAsia" w:ascii="仿宋" w:hAnsi="仿宋" w:eastAsia="仿宋" w:cs="仿宋"/>
          <w:b/>
          <w:bCs/>
          <w:i w:val="0"/>
          <w:iCs w:val="0"/>
          <w:color w:val="auto"/>
          <w:kern w:val="2"/>
          <w:sz w:val="24"/>
          <w:szCs w:val="24"/>
          <w:highlight w:val="none"/>
          <w:vertAlign w:val="baseline"/>
          <w:lang w:val="en-US" w:eastAsia="zh-CN" w:bidi="ar-SA"/>
        </w:rPr>
        <w:t>.投标有效期</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.2投标文件合格投递后，自投标截止日期起，在投标有效期内有效。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3"/>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290"/>
      <w:bookmarkEnd w:id="20"/>
      <w:bookmarkStart w:id="21" w:name="_Hlt68403820"/>
      <w:bookmarkEnd w:id="21"/>
      <w:bookmarkStart w:id="22" w:name="_Hlt68057669"/>
      <w:bookmarkEnd w:id="22"/>
      <w:bookmarkStart w:id="23" w:name="_Hlt74714665"/>
      <w:bookmarkEnd w:id="23"/>
      <w:bookmarkStart w:id="24" w:name="_Hlt68072998"/>
      <w:bookmarkEnd w:id="24"/>
      <w:bookmarkStart w:id="25" w:name="_Hlt74729768"/>
      <w:bookmarkEnd w:id="25"/>
      <w:bookmarkStart w:id="26" w:name="_Hlt74730295"/>
      <w:bookmarkEnd w:id="26"/>
      <w:bookmarkStart w:id="27" w:name="_Hlt75236011"/>
      <w:bookmarkEnd w:id="27"/>
      <w:bookmarkStart w:id="28" w:name="_Hlt75236101"/>
      <w:bookmarkEnd w:id="28"/>
      <w:bookmarkStart w:id="29" w:name="_Hlt68072990"/>
      <w:bookmarkEnd w:id="29"/>
      <w:bookmarkStart w:id="30" w:name="_Hlt74707468"/>
      <w:bookmarkEnd w:id="30"/>
      <w:bookmarkStart w:id="31" w:name="_Hlt68073093"/>
      <w:bookmarkEnd w:id="31"/>
      <w:bookmarkStart w:id="32" w:name="_Toc81372776"/>
      <w:bookmarkStart w:id="33" w:name="_Toc84325929"/>
      <w:bookmarkStart w:id="34" w:name="_Toc81372953"/>
      <w:r>
        <w:rPr>
          <w:rFonts w:hint="eastAsia" w:ascii="仿宋" w:hAnsi="仿宋" w:eastAsia="仿宋" w:cs="仿宋"/>
          <w:b/>
          <w:color w:val="auto"/>
          <w:sz w:val="32"/>
          <w:szCs w:val="32"/>
          <w:highlight w:val="none"/>
        </w:rPr>
        <w:t>五、授予合同</w:t>
      </w:r>
    </w:p>
    <w:bookmarkEnd w:id="32"/>
    <w:bookmarkEnd w:id="33"/>
    <w:bookmarkEnd w:id="34"/>
    <w:p>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keepNext w:val="0"/>
        <w:keepLines w:val="0"/>
        <w:pageBreakBefore w:val="0"/>
        <w:widowControl w:val="0"/>
        <w:kinsoku/>
        <w:wordWrap/>
        <w:overflowPunct/>
        <w:topLinePunct w:val="0"/>
        <w:autoSpaceDE/>
        <w:autoSpaceDN/>
        <w:bidi w:val="0"/>
        <w:adjustRightInd/>
        <w:snapToGrid/>
        <w:spacing w:line="440" w:lineRule="exact"/>
        <w:ind w:left="181" w:firstLine="241" w:firstLineChars="100"/>
        <w:textAlignment w:val="auto"/>
        <w:rPr>
          <w:rFonts w:hint="eastAsia" w:ascii="仿宋" w:hAnsi="仿宋" w:eastAsia="仿宋" w:cs="仿宋"/>
          <w:b/>
          <w:color w:val="auto"/>
          <w:sz w:val="24"/>
          <w:highlight w:val="none"/>
        </w:rPr>
      </w:pPr>
      <w:bookmarkStart w:id="36" w:name="第五部分"/>
      <w:bookmarkStart w:id="37" w:name="_Toc86217003"/>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color w:val="auto"/>
          <w:sz w:val="24"/>
          <w:highlight w:val="none"/>
        </w:rPr>
        <w:t>项目名称：绍兴市口腔医院</w:t>
      </w:r>
      <w:r>
        <w:rPr>
          <w:rFonts w:hint="eastAsia" w:ascii="仿宋" w:hAnsi="仿宋" w:eastAsia="仿宋" w:cs="仿宋"/>
          <w:b/>
          <w:color w:val="auto"/>
          <w:sz w:val="24"/>
          <w:highlight w:val="none"/>
          <w:lang w:val="en-US" w:eastAsia="zh-CN"/>
        </w:rPr>
        <w:t>关于</w:t>
      </w:r>
      <w:r>
        <w:rPr>
          <w:rFonts w:hint="eastAsia" w:ascii="仿宋" w:hAnsi="仿宋" w:eastAsia="仿宋" w:cs="仿宋"/>
          <w:b/>
          <w:color w:val="auto"/>
          <w:sz w:val="24"/>
          <w:highlight w:val="none"/>
        </w:rPr>
        <w:t>其他物资采购项目  预算金额：</w:t>
      </w:r>
      <w:r>
        <w:rPr>
          <w:rFonts w:hint="eastAsia" w:ascii="仿宋" w:hAnsi="仿宋" w:eastAsia="仿宋" w:cs="仿宋"/>
          <w:b/>
          <w:color w:val="auto"/>
          <w:sz w:val="24"/>
          <w:highlight w:val="none"/>
          <w:lang w:val="en-US" w:eastAsia="zh-CN"/>
        </w:rPr>
        <w:t>500000</w:t>
      </w:r>
      <w:r>
        <w:rPr>
          <w:rFonts w:hint="eastAsia" w:ascii="仿宋" w:hAnsi="仿宋" w:eastAsia="仿宋" w:cs="仿宋"/>
          <w:b/>
          <w:color w:val="auto"/>
          <w:sz w:val="24"/>
          <w:highlight w:val="none"/>
        </w:rPr>
        <w:t>元</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1、项目实施人员费用</w:t>
      </w:r>
    </w:p>
    <w:p>
      <w:pPr>
        <w:keepNext w:val="0"/>
        <w:keepLines w:val="0"/>
        <w:pageBreakBefore w:val="0"/>
        <w:widowControl w:val="0"/>
        <w:kinsoku/>
        <w:wordWrap/>
        <w:overflowPunct/>
        <w:topLinePunct w:val="0"/>
        <w:autoSpaceDE/>
        <w:autoSpaceDN/>
        <w:bidi w:val="0"/>
        <w:adjustRightInd/>
        <w:snapToGrid/>
        <w:spacing w:line="440" w:lineRule="exact"/>
        <w:ind w:firstLine="470" w:firstLineChars="196"/>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中标人应自行承担选派专业人员的住宿、就餐和交通等费用。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2、项目情况</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01标：</w:t>
      </w:r>
    </w:p>
    <w:tbl>
      <w:tblPr>
        <w:tblStyle w:val="63"/>
        <w:tblW w:w="5885" w:type="pct"/>
        <w:tblInd w:w="-939" w:type="dxa"/>
        <w:tblLayout w:type="fixed"/>
        <w:tblCellMar>
          <w:top w:w="0" w:type="dxa"/>
          <w:left w:w="108" w:type="dxa"/>
          <w:bottom w:w="0" w:type="dxa"/>
          <w:right w:w="108" w:type="dxa"/>
        </w:tblCellMar>
      </w:tblPr>
      <w:tblGrid>
        <w:gridCol w:w="645"/>
        <w:gridCol w:w="2534"/>
        <w:gridCol w:w="2104"/>
        <w:gridCol w:w="830"/>
        <w:gridCol w:w="1736"/>
        <w:gridCol w:w="784"/>
        <w:gridCol w:w="1167"/>
        <w:gridCol w:w="998"/>
      </w:tblGrid>
      <w:tr>
        <w:tblPrEx>
          <w:tblCellMar>
            <w:top w:w="0" w:type="dxa"/>
            <w:left w:w="108" w:type="dxa"/>
            <w:bottom w:w="0" w:type="dxa"/>
            <w:right w:w="108" w:type="dxa"/>
          </w:tblCellMar>
        </w:tblPrEx>
        <w:trPr>
          <w:trHeight w:val="390" w:hRule="atLeast"/>
        </w:trPr>
        <w:tc>
          <w:tcPr>
            <w:tcW w:w="298"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序号</w:t>
            </w:r>
          </w:p>
        </w:tc>
        <w:tc>
          <w:tcPr>
            <w:tcW w:w="117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物</w:t>
            </w:r>
            <w:r>
              <w:rPr>
                <w:rFonts w:hint="eastAsia" w:ascii="仿宋" w:hAnsi="仿宋" w:eastAsia="仿宋" w:cs="仿宋"/>
                <w:color w:val="auto"/>
                <w:sz w:val="22"/>
                <w:szCs w:val="18"/>
                <w:highlight w:val="none"/>
                <w:lang w:val="en-US" w:eastAsia="zh-CN"/>
              </w:rPr>
              <w:t>资</w:t>
            </w:r>
            <w:r>
              <w:rPr>
                <w:rFonts w:hint="eastAsia" w:ascii="仿宋" w:hAnsi="仿宋" w:eastAsia="仿宋" w:cs="仿宋"/>
                <w:color w:val="auto"/>
                <w:sz w:val="22"/>
                <w:szCs w:val="18"/>
                <w:highlight w:val="none"/>
              </w:rPr>
              <w:t>名称</w:t>
            </w:r>
          </w:p>
        </w:tc>
        <w:tc>
          <w:tcPr>
            <w:tcW w:w="974"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规格型号</w:t>
            </w:r>
          </w:p>
        </w:tc>
        <w:tc>
          <w:tcPr>
            <w:tcW w:w="384"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单位</w:t>
            </w:r>
          </w:p>
        </w:tc>
        <w:tc>
          <w:tcPr>
            <w:tcW w:w="80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配套使用设备</w:t>
            </w: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单</w:t>
            </w:r>
            <w:r>
              <w:rPr>
                <w:rFonts w:hint="eastAsia" w:ascii="仿宋" w:hAnsi="仿宋" w:eastAsia="仿宋" w:cs="仿宋"/>
                <w:color w:val="auto"/>
                <w:sz w:val="22"/>
                <w:szCs w:val="18"/>
                <w:highlight w:val="none"/>
              </w:rPr>
              <w:t>价（元）</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需求数量（预估）</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总价</w:t>
            </w:r>
          </w:p>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（元）</w:t>
            </w:r>
          </w:p>
        </w:tc>
      </w:tr>
      <w:tr>
        <w:tblPrEx>
          <w:tblCellMar>
            <w:top w:w="0" w:type="dxa"/>
            <w:left w:w="108" w:type="dxa"/>
            <w:bottom w:w="0" w:type="dxa"/>
            <w:right w:w="108" w:type="dxa"/>
          </w:tblCellMar>
        </w:tblPrEx>
        <w:trPr>
          <w:trHeight w:val="417"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1</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车针消毒盒（单芯铝盒）</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L型</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8</w:t>
            </w:r>
            <w:r>
              <w:rPr>
                <w:rFonts w:hint="eastAsia" w:ascii="仿宋" w:hAnsi="仿宋" w:eastAsia="仿宋" w:cs="仿宋"/>
                <w:color w:val="auto"/>
                <w:sz w:val="22"/>
                <w:szCs w:val="18"/>
                <w:highlight w:val="none"/>
                <w:lang w:val="en-US" w:eastAsia="zh-CN"/>
              </w:rPr>
              <w:t>5</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50</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4250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器械消毒盒</w:t>
            </w:r>
            <w:r>
              <w:rPr>
                <w:rFonts w:hint="eastAsia" w:ascii="仿宋" w:hAnsi="仿宋" w:eastAsia="仿宋" w:cs="仿宋"/>
                <w:color w:val="auto"/>
                <w:sz w:val="22"/>
                <w:szCs w:val="18"/>
                <w:highlight w:val="none"/>
                <w:lang w:val="en-US" w:eastAsia="zh-CN"/>
              </w:rPr>
              <w:t>(核心产品）</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20*1</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3</w:t>
            </w:r>
            <w:r>
              <w:rPr>
                <w:rFonts w:hint="eastAsia" w:ascii="仿宋" w:hAnsi="仿宋" w:eastAsia="仿宋" w:cs="仿宋"/>
                <w:color w:val="auto"/>
                <w:sz w:val="22"/>
                <w:szCs w:val="18"/>
                <w:highlight w:val="none"/>
                <w:lang w:val="en-US" w:eastAsia="zh-CN"/>
              </w:rPr>
              <w:t>00</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230</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69000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3</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器械消毒盒</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10*1</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1</w:t>
            </w:r>
            <w:r>
              <w:rPr>
                <w:rFonts w:hint="eastAsia" w:ascii="仿宋" w:hAnsi="仿宋" w:eastAsia="仿宋" w:cs="仿宋"/>
                <w:color w:val="auto"/>
                <w:sz w:val="22"/>
                <w:szCs w:val="18"/>
                <w:highlight w:val="none"/>
                <w:lang w:val="en-US" w:eastAsia="zh-CN"/>
              </w:rPr>
              <w:t>50</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300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4</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镊子筒</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大号</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3</w:t>
            </w:r>
            <w:r>
              <w:rPr>
                <w:rFonts w:hint="eastAsia" w:ascii="仿宋" w:hAnsi="仿宋" w:eastAsia="仿宋" w:cs="仿宋"/>
                <w:color w:val="auto"/>
                <w:sz w:val="22"/>
                <w:szCs w:val="18"/>
                <w:highlight w:val="none"/>
                <w:lang w:val="en-US" w:eastAsia="zh-CN"/>
              </w:rPr>
              <w:t>2</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64</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5</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镊子筒</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中号</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2</w:t>
            </w:r>
            <w:r>
              <w:rPr>
                <w:rFonts w:hint="eastAsia" w:ascii="仿宋" w:hAnsi="仿宋" w:eastAsia="仿宋" w:cs="仿宋"/>
                <w:color w:val="auto"/>
                <w:sz w:val="22"/>
                <w:szCs w:val="18"/>
                <w:highlight w:val="none"/>
                <w:lang w:val="en-US" w:eastAsia="zh-CN"/>
              </w:rPr>
              <w:t>8</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140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6</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镊子筒</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小号</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1</w:t>
            </w:r>
            <w:r>
              <w:rPr>
                <w:rFonts w:hint="eastAsia" w:ascii="仿宋" w:hAnsi="仿宋" w:eastAsia="仿宋" w:cs="仿宋"/>
                <w:color w:val="auto"/>
                <w:sz w:val="22"/>
                <w:szCs w:val="18"/>
                <w:highlight w:val="none"/>
                <w:lang w:val="en-US" w:eastAsia="zh-CN"/>
              </w:rPr>
              <w:t>8</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36</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7</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不锈钢消毒盒</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8寸有孔</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7</w:t>
            </w:r>
            <w:r>
              <w:rPr>
                <w:rFonts w:hint="eastAsia" w:ascii="仿宋" w:hAnsi="仿宋" w:eastAsia="仿宋" w:cs="仿宋"/>
                <w:color w:val="auto"/>
                <w:sz w:val="22"/>
                <w:szCs w:val="18"/>
                <w:highlight w:val="none"/>
                <w:lang w:val="en-US" w:eastAsia="zh-CN"/>
              </w:rPr>
              <w:t>2</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70</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5040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8</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不锈钢消毒盒</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12寸有孔</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92</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3</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276</w:t>
            </w:r>
          </w:p>
        </w:tc>
      </w:tr>
      <w:tr>
        <w:tblPrEx>
          <w:tblCellMar>
            <w:top w:w="0" w:type="dxa"/>
            <w:left w:w="108" w:type="dxa"/>
            <w:bottom w:w="0" w:type="dxa"/>
            <w:right w:w="108" w:type="dxa"/>
          </w:tblCellMar>
        </w:tblPrEx>
        <w:trPr>
          <w:trHeight w:val="369"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9</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消毒瓶</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5.3cm全盖</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1</w:t>
            </w:r>
            <w:r>
              <w:rPr>
                <w:rFonts w:hint="eastAsia" w:ascii="仿宋" w:hAnsi="仿宋" w:eastAsia="仿宋" w:cs="仿宋"/>
                <w:color w:val="auto"/>
                <w:sz w:val="22"/>
                <w:szCs w:val="18"/>
                <w:highlight w:val="none"/>
                <w:lang w:val="en-US" w:eastAsia="zh-CN"/>
              </w:rPr>
              <w:t>0</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50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10</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油交缸</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8cm</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1</w:t>
            </w:r>
            <w:r>
              <w:rPr>
                <w:rFonts w:hint="eastAsia" w:ascii="仿宋" w:hAnsi="仿宋" w:eastAsia="仿宋" w:cs="仿宋"/>
                <w:color w:val="auto"/>
                <w:sz w:val="22"/>
                <w:szCs w:val="18"/>
                <w:highlight w:val="none"/>
                <w:lang w:val="en-US" w:eastAsia="zh-CN"/>
              </w:rPr>
              <w:t>2</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120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11</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三用枪喷嘴</w:t>
            </w:r>
          </w:p>
        </w:tc>
        <w:tc>
          <w:tcPr>
            <w:tcW w:w="2055" w:type="dxa"/>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西北厂原装</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支</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22</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500</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11000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12</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光导棒</w:t>
            </w:r>
          </w:p>
        </w:tc>
        <w:tc>
          <w:tcPr>
            <w:tcW w:w="2055" w:type="dxa"/>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西北厂光固化机</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支</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2</w:t>
            </w:r>
            <w:r>
              <w:rPr>
                <w:rFonts w:hint="eastAsia" w:ascii="仿宋" w:hAnsi="仿宋" w:eastAsia="仿宋" w:cs="仿宋"/>
                <w:color w:val="auto"/>
                <w:sz w:val="22"/>
                <w:szCs w:val="18"/>
                <w:highlight w:val="none"/>
                <w:lang w:val="en-US" w:eastAsia="zh-CN"/>
              </w:rPr>
              <w:t>40</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20</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4800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13</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光导棒</w:t>
            </w:r>
          </w:p>
        </w:tc>
        <w:tc>
          <w:tcPr>
            <w:tcW w:w="2055" w:type="dxa"/>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啄木鸟光固化机</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支</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80</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400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14</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金属挂钩</w:t>
            </w:r>
          </w:p>
        </w:tc>
        <w:tc>
          <w:tcPr>
            <w:tcW w:w="2055" w:type="dxa"/>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森田根测仪</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65</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20</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1300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15</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根测仪连线</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白色</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支</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森田根测仪</w:t>
            </w: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4</w:t>
            </w:r>
            <w:r>
              <w:rPr>
                <w:rFonts w:hint="eastAsia" w:ascii="仿宋" w:hAnsi="仿宋" w:eastAsia="仿宋" w:cs="仿宋"/>
                <w:color w:val="auto"/>
                <w:sz w:val="22"/>
                <w:szCs w:val="18"/>
                <w:highlight w:val="none"/>
                <w:lang w:val="en-US" w:eastAsia="zh-CN"/>
              </w:rPr>
              <w:t>00</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2000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16</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根管针支架</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灰色</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支</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森田根测仪</w:t>
            </w: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200</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200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17</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根管长度测量尺</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登士柏根管治疗仪</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1</w:t>
            </w:r>
            <w:r>
              <w:rPr>
                <w:rFonts w:hint="eastAsia" w:ascii="仿宋" w:hAnsi="仿宋" w:eastAsia="仿宋" w:cs="仿宋"/>
                <w:color w:val="auto"/>
                <w:sz w:val="22"/>
                <w:szCs w:val="18"/>
                <w:highlight w:val="none"/>
                <w:lang w:val="en-US" w:eastAsia="zh-CN"/>
              </w:rPr>
              <w:t>45</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26</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3770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18</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调拌纸</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≥60页/本，6本/盒</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盒</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1</w:t>
            </w:r>
            <w:r>
              <w:rPr>
                <w:rFonts w:hint="eastAsia" w:ascii="仿宋" w:hAnsi="仿宋" w:eastAsia="仿宋" w:cs="仿宋"/>
                <w:color w:val="auto"/>
                <w:sz w:val="22"/>
                <w:szCs w:val="18"/>
                <w:highlight w:val="none"/>
                <w:lang w:val="en-US" w:eastAsia="zh-CN"/>
              </w:rPr>
              <w:t>05</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50</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5250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19</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橡胶调拌碗</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蓝色 中号</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5</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20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20</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藻酸盐调拌刀</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彩色</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把</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1</w:t>
            </w:r>
            <w:r>
              <w:rPr>
                <w:rFonts w:hint="eastAsia" w:ascii="仿宋" w:hAnsi="仿宋" w:eastAsia="仿宋" w:cs="仿宋"/>
                <w:color w:val="auto"/>
                <w:sz w:val="22"/>
                <w:szCs w:val="18"/>
                <w:highlight w:val="none"/>
                <w:lang w:val="en-US" w:eastAsia="zh-CN"/>
              </w:rPr>
              <w:t>2</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200</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2400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21</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防护面罩及其膜片</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宣宇</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套</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6</w:t>
            </w:r>
            <w:r>
              <w:rPr>
                <w:rFonts w:hint="eastAsia" w:ascii="仿宋" w:hAnsi="仿宋" w:eastAsia="仿宋" w:cs="仿宋"/>
                <w:color w:val="auto"/>
                <w:sz w:val="22"/>
                <w:szCs w:val="18"/>
                <w:highlight w:val="none"/>
                <w:lang w:val="en-US" w:eastAsia="zh-CN"/>
              </w:rPr>
              <w:t>0</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24</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1440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22</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防护面罩框架</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品牌3M</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78</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390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23</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防护面罩膜片</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品牌3M</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包</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和防护面罩框架配套</w:t>
            </w: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200</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20</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4000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24</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防护眼镜</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55</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110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25</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一次性塑料牙托</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≥25只/包</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包</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1</w:t>
            </w:r>
            <w:r>
              <w:rPr>
                <w:rFonts w:hint="eastAsia" w:ascii="仿宋" w:hAnsi="仿宋" w:eastAsia="仿宋" w:cs="仿宋"/>
                <w:color w:val="auto"/>
                <w:sz w:val="22"/>
                <w:szCs w:val="18"/>
                <w:highlight w:val="none"/>
                <w:lang w:val="en-US" w:eastAsia="zh-CN"/>
              </w:rPr>
              <w:t>40</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50</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7000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26</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牙线</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≥25m</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盒</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7</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500</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3500</w:t>
            </w:r>
          </w:p>
        </w:tc>
      </w:tr>
      <w:tr>
        <w:tblPrEx>
          <w:tblCellMar>
            <w:top w:w="0" w:type="dxa"/>
            <w:left w:w="108" w:type="dxa"/>
            <w:bottom w:w="0" w:type="dxa"/>
            <w:right w:w="108" w:type="dxa"/>
          </w:tblCellMar>
        </w:tblPrEx>
        <w:trPr>
          <w:trHeight w:val="555"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27</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牙髓活力测试剂（冷冻喷雾剂）</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≥200ml</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瓶</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232</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464</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28</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根管冲洗液</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≥200ml含矫味剂</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瓶</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25</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334</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8350</w:t>
            </w:r>
          </w:p>
        </w:tc>
      </w:tr>
      <w:tr>
        <w:tblPrEx>
          <w:tblCellMar>
            <w:top w:w="0" w:type="dxa"/>
            <w:left w:w="108" w:type="dxa"/>
            <w:bottom w:w="0" w:type="dxa"/>
            <w:right w:w="108" w:type="dxa"/>
          </w:tblCellMar>
        </w:tblPrEx>
        <w:trPr>
          <w:trHeight w:val="495"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29</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藻酸盐印模材料托盘清洗剂</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≥1000ML</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瓶</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56</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37</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2072</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30</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手机清洗润滑油</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500ML</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瓶</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卡瓦注油机</w:t>
            </w: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2</w:t>
            </w:r>
            <w:r>
              <w:rPr>
                <w:rFonts w:hint="eastAsia" w:ascii="仿宋" w:hAnsi="仿宋" w:eastAsia="仿宋" w:cs="仿宋"/>
                <w:color w:val="auto"/>
                <w:sz w:val="22"/>
                <w:szCs w:val="18"/>
                <w:highlight w:val="none"/>
                <w:lang w:val="en-US" w:eastAsia="zh-CN"/>
              </w:rPr>
              <w:t>40</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750</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180000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31</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钨钢磨头（进口）</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各型号</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1</w:t>
            </w:r>
            <w:r>
              <w:rPr>
                <w:rFonts w:hint="eastAsia" w:ascii="仿宋" w:hAnsi="仿宋" w:eastAsia="仿宋" w:cs="仿宋"/>
                <w:color w:val="auto"/>
                <w:sz w:val="22"/>
                <w:szCs w:val="18"/>
                <w:highlight w:val="none"/>
                <w:lang w:val="en-US" w:eastAsia="zh-CN"/>
              </w:rPr>
              <w:t>25</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68</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8500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32</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金刚砂磨头</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大、中、小</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2.8</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50</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140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33</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比色板</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29色</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套</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650</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3250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34</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白石膏</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≥25kg/包</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包</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65</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260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35</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酒精灯</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strike/>
                <w:dstrike w:val="0"/>
                <w:color w:val="auto"/>
                <w:sz w:val="22"/>
                <w:szCs w:val="18"/>
                <w:highlight w:val="none"/>
                <w:lang w:val="en-US" w:eastAsia="zh-CN"/>
              </w:rPr>
            </w:pP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9</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45</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36</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焊枪</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strike/>
                <w:dstrike w:val="0"/>
                <w:color w:val="auto"/>
                <w:sz w:val="22"/>
                <w:szCs w:val="18"/>
                <w:highlight w:val="none"/>
              </w:rPr>
            </w:pP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166</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166</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000000" w:fill="FFFFFF"/>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37</w:t>
            </w:r>
          </w:p>
        </w:tc>
        <w:tc>
          <w:tcPr>
            <w:tcW w:w="117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不锈钢弯盘</w:t>
            </w:r>
          </w:p>
        </w:tc>
        <w:tc>
          <w:tcPr>
            <w:tcW w:w="97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中号</w:t>
            </w:r>
          </w:p>
        </w:tc>
        <w:tc>
          <w:tcPr>
            <w:tcW w:w="384" w:type="pct"/>
            <w:tcBorders>
              <w:top w:val="nil"/>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只</w:t>
            </w:r>
          </w:p>
        </w:tc>
        <w:tc>
          <w:tcPr>
            <w:tcW w:w="803" w:type="pct"/>
            <w:tcBorders>
              <w:top w:val="nil"/>
              <w:left w:val="nil"/>
              <w:bottom w:val="single" w:color="auto" w:sz="4" w:space="0"/>
              <w:right w:val="single" w:color="auto" w:sz="4" w:space="0"/>
            </w:tcBorders>
            <w:shd w:val="clear" w:color="000000" w:fill="FFFFFF"/>
            <w:noWrap w:val="0"/>
            <w:vAlign w:val="center"/>
          </w:tcPr>
          <w:p>
            <w:pPr>
              <w:pStyle w:val="33"/>
              <w:spacing w:line="240" w:lineRule="auto"/>
              <w:ind w:firstLine="440" w:firstLineChars="200"/>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2</w:t>
            </w:r>
            <w:r>
              <w:rPr>
                <w:rFonts w:hint="eastAsia" w:ascii="仿宋" w:hAnsi="仿宋" w:eastAsia="仿宋" w:cs="仿宋"/>
                <w:color w:val="auto"/>
                <w:sz w:val="22"/>
                <w:szCs w:val="18"/>
                <w:highlight w:val="none"/>
                <w:lang w:val="en-US" w:eastAsia="zh-CN"/>
              </w:rPr>
              <w:t>2</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61</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1342</w:t>
            </w:r>
          </w:p>
        </w:tc>
      </w:tr>
      <w:tr>
        <w:tblPrEx>
          <w:tblCellMar>
            <w:top w:w="0" w:type="dxa"/>
            <w:left w:w="108" w:type="dxa"/>
            <w:bottom w:w="0" w:type="dxa"/>
            <w:right w:w="108" w:type="dxa"/>
          </w:tblCellMar>
        </w:tblPrEx>
        <w:trPr>
          <w:trHeight w:val="450" w:hRule="atLeast"/>
        </w:trPr>
        <w:tc>
          <w:tcPr>
            <w:tcW w:w="298" w:type="pct"/>
            <w:tcBorders>
              <w:top w:val="nil"/>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38</w:t>
            </w:r>
          </w:p>
        </w:tc>
        <w:tc>
          <w:tcPr>
            <w:tcW w:w="1173" w:type="pct"/>
            <w:tcBorders>
              <w:top w:val="nil"/>
              <w:left w:val="nil"/>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氧化锆车针</w:t>
            </w:r>
          </w:p>
        </w:tc>
        <w:tc>
          <w:tcPr>
            <w:tcW w:w="974" w:type="pct"/>
            <w:tcBorders>
              <w:top w:val="nil"/>
              <w:left w:val="nil"/>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各尺寸规格</w:t>
            </w:r>
          </w:p>
        </w:tc>
        <w:tc>
          <w:tcPr>
            <w:tcW w:w="384" w:type="pct"/>
            <w:tcBorders>
              <w:top w:val="nil"/>
              <w:left w:val="nil"/>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支</w:t>
            </w:r>
          </w:p>
        </w:tc>
        <w:tc>
          <w:tcPr>
            <w:tcW w:w="803" w:type="pct"/>
            <w:tcBorders>
              <w:top w:val="nil"/>
              <w:left w:val="nil"/>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CADCAM切割机</w:t>
            </w: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572</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5720</w:t>
            </w:r>
          </w:p>
        </w:tc>
      </w:tr>
      <w:tr>
        <w:tblPrEx>
          <w:tblCellMar>
            <w:top w:w="0" w:type="dxa"/>
            <w:left w:w="108" w:type="dxa"/>
            <w:bottom w:w="0" w:type="dxa"/>
            <w:right w:w="108" w:type="dxa"/>
          </w:tblCellMar>
        </w:tblPrEx>
        <w:trPr>
          <w:trHeight w:val="390" w:hRule="atLeast"/>
        </w:trPr>
        <w:tc>
          <w:tcPr>
            <w:tcW w:w="298" w:type="pct"/>
            <w:tcBorders>
              <w:top w:val="nil"/>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39</w:t>
            </w:r>
          </w:p>
        </w:tc>
        <w:tc>
          <w:tcPr>
            <w:tcW w:w="1173" w:type="pct"/>
            <w:tcBorders>
              <w:top w:val="nil"/>
              <w:left w:val="nil"/>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玻璃陶瓷车针</w:t>
            </w:r>
          </w:p>
        </w:tc>
        <w:tc>
          <w:tcPr>
            <w:tcW w:w="974" w:type="pct"/>
            <w:tcBorders>
              <w:top w:val="nil"/>
              <w:left w:val="nil"/>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各尺寸规格</w:t>
            </w:r>
          </w:p>
        </w:tc>
        <w:tc>
          <w:tcPr>
            <w:tcW w:w="384" w:type="pct"/>
            <w:tcBorders>
              <w:top w:val="nil"/>
              <w:left w:val="nil"/>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支</w:t>
            </w:r>
          </w:p>
        </w:tc>
        <w:tc>
          <w:tcPr>
            <w:tcW w:w="803" w:type="pct"/>
            <w:tcBorders>
              <w:top w:val="nil"/>
              <w:left w:val="nil"/>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CADCAM切割机</w:t>
            </w: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572</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5720</w:t>
            </w:r>
          </w:p>
        </w:tc>
      </w:tr>
      <w:tr>
        <w:tblPrEx>
          <w:tblCellMar>
            <w:top w:w="0" w:type="dxa"/>
            <w:left w:w="108" w:type="dxa"/>
            <w:bottom w:w="0" w:type="dxa"/>
            <w:right w:w="108" w:type="dxa"/>
          </w:tblCellMar>
        </w:tblPrEx>
        <w:trPr>
          <w:trHeight w:val="450" w:hRule="atLeast"/>
        </w:trPr>
        <w:tc>
          <w:tcPr>
            <w:tcW w:w="298" w:type="pct"/>
            <w:tcBorders>
              <w:top w:val="nil"/>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40</w:t>
            </w:r>
          </w:p>
        </w:tc>
        <w:tc>
          <w:tcPr>
            <w:tcW w:w="1173" w:type="pct"/>
            <w:tcBorders>
              <w:top w:val="nil"/>
              <w:left w:val="nil"/>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车针冷却液</w:t>
            </w:r>
          </w:p>
        </w:tc>
        <w:tc>
          <w:tcPr>
            <w:tcW w:w="974" w:type="pct"/>
            <w:tcBorders>
              <w:top w:val="nil"/>
              <w:left w:val="nil"/>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rPr>
              <w:t>CADCAM切割机</w:t>
            </w:r>
          </w:p>
        </w:tc>
        <w:tc>
          <w:tcPr>
            <w:tcW w:w="384" w:type="pct"/>
            <w:tcBorders>
              <w:top w:val="nil"/>
              <w:left w:val="nil"/>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瓶</w:t>
            </w:r>
          </w:p>
        </w:tc>
        <w:tc>
          <w:tcPr>
            <w:tcW w:w="803" w:type="pct"/>
            <w:tcBorders>
              <w:top w:val="nil"/>
              <w:left w:val="nil"/>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512</w:t>
            </w:r>
          </w:p>
        </w:tc>
        <w:tc>
          <w:tcPr>
            <w:tcW w:w="540"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w:t>
            </w:r>
          </w:p>
        </w:tc>
        <w:tc>
          <w:tcPr>
            <w:tcW w:w="462" w:type="pct"/>
            <w:tcBorders>
              <w:top w:val="single" w:color="auto" w:sz="4" w:space="0"/>
              <w:left w:val="nil"/>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512</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41</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4孔消毒</w:t>
            </w:r>
            <w:r>
              <w:rPr>
                <w:rFonts w:hint="eastAsia" w:ascii="仿宋" w:hAnsi="仿宋" w:eastAsia="仿宋" w:cs="仿宋"/>
                <w:color w:val="auto"/>
                <w:sz w:val="22"/>
                <w:szCs w:val="18"/>
                <w:highlight w:val="none"/>
              </w:rPr>
              <w:t>车针架</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sz w:val="22"/>
                <w:szCs w:val="18"/>
                <w:highlight w:val="none"/>
                <w:lang w:val="en-US" w:eastAsia="zh-CN"/>
              </w:rPr>
              <w:t>4孔</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只</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23</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200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4600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42</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8孔消毒</w:t>
            </w:r>
            <w:r>
              <w:rPr>
                <w:rFonts w:hint="eastAsia" w:ascii="仿宋" w:hAnsi="仿宋" w:eastAsia="仿宋" w:cs="仿宋"/>
                <w:color w:val="auto"/>
                <w:sz w:val="22"/>
                <w:szCs w:val="18"/>
                <w:highlight w:val="none"/>
              </w:rPr>
              <w:t>车针架</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sz w:val="22"/>
                <w:szCs w:val="18"/>
                <w:highlight w:val="none"/>
                <w:lang w:val="en-US" w:eastAsia="zh-CN"/>
              </w:rPr>
              <w:t>8孔</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只</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38</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380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43</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不锈钢口杯</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5CM</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只</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44</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不锈钢清洗打包篮筐</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各尺寸规格</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只</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480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28800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45</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不锈钢碗</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14CM</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只</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18</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90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46</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专用轴柄（矽粒子柄）</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rPr>
              <w:t>PN0435-6支</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盒</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140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280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47</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凡士林</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500g</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瓶</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48</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夹子放置座</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8支</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只</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52</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104</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49</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牙缝刷</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0.8mm</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盒</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25</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200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5000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50</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器械管理盒</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rPr>
            </w:pPr>
            <w:r>
              <w:rPr>
                <w:rFonts w:hint="eastAsia" w:ascii="仿宋" w:hAnsi="仿宋" w:eastAsia="仿宋" w:cs="仿宋"/>
                <w:color w:val="auto"/>
                <w:sz w:val="22"/>
                <w:szCs w:val="18"/>
                <w:highlight w:val="none"/>
                <w:lang w:val="en-US" w:eastAsia="zh-CN"/>
              </w:rPr>
              <w:t>各尺寸规格</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只</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460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46000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51</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技工雕刻刀</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E46</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把</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32</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64</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52</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吸水纸</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新华</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箱</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750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7500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53</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调拌玻璃板</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strike/>
                <w:dstrike w:val="0"/>
                <w:color w:val="auto"/>
                <w:sz w:val="22"/>
                <w:szCs w:val="18"/>
                <w:highlight w:val="none"/>
                <w:lang w:val="en-US" w:eastAsia="zh-CN"/>
              </w:rPr>
            </w:pP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块</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12</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1200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54</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夹石针</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strike/>
                <w:dstrike w:val="0"/>
                <w:color w:val="auto"/>
                <w:sz w:val="22"/>
                <w:szCs w:val="18"/>
                <w:highlight w:val="none"/>
                <w:lang w:val="en-US" w:eastAsia="zh-CN"/>
              </w:rPr>
            </w:pP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支</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55</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耳温计</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博朗IRT6520</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支</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343</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1715</w:t>
            </w:r>
          </w:p>
        </w:tc>
      </w:tr>
      <w:tr>
        <w:tblPrEx>
          <w:tblCellMar>
            <w:top w:w="0" w:type="dxa"/>
            <w:left w:w="108" w:type="dxa"/>
            <w:bottom w:w="0" w:type="dxa"/>
            <w:right w:w="108" w:type="dxa"/>
          </w:tblCellMar>
        </w:tblPrEx>
        <w:trPr>
          <w:trHeight w:val="429"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56</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石膏剪</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把</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120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57</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服药杯</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50mm*50mm（有盖、无盖）</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只</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58</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技工钳</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113#梯形钳</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把</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109</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1090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59</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sz w:val="22"/>
                <w:szCs w:val="18"/>
                <w:highlight w:val="none"/>
                <w:lang w:val="en-US" w:eastAsia="zh-CN"/>
              </w:rPr>
              <w:t>卡环钳</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116#卡环钳</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sz w:val="22"/>
                <w:szCs w:val="18"/>
                <w:highlight w:val="none"/>
                <w:lang w:val="en-US" w:eastAsia="zh-CN"/>
              </w:rPr>
              <w:t>把</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kern w:val="2"/>
                <w:sz w:val="22"/>
                <w:szCs w:val="18"/>
                <w:highlight w:val="none"/>
                <w:lang w:val="en-US" w:eastAsia="zh-CN" w:bidi="ar-SA"/>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kern w:val="2"/>
                <w:sz w:val="22"/>
                <w:szCs w:val="18"/>
                <w:highlight w:val="none"/>
                <w:lang w:val="en-US" w:eastAsia="zh-CN" w:bidi="ar-SA"/>
              </w:rPr>
              <w:t>109</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1090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60</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手机清洗油</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NSK</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瓶</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85</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1700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61</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根管锉收集器皿</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中型</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只</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45</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900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62</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激光头</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各型号</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支</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适用Syneron LiteTouch</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900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8</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7200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63</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搅拌混合调拌小盘</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2孔</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只</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0.2</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200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64</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DWX用冷却液</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ZAW-1000D</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瓶</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罗兰切割机</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560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560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65</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DWX冷却液添加剂</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ZCH-250D</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瓶</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罗兰切割机</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680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680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66</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玻璃陶瓷车针</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ZGB-25D</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支</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罗兰切割机</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558</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2790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67</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玻璃陶瓷车针</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ZGB-50D</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支</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罗兰切割机</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558</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2790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68</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玻璃陶瓷车针</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ZGB-125D</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支</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罗兰切割机</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558</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2790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69</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玻璃陶瓷车针</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ZGB2-25D</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支</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罗兰切割机</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630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3150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70</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玻璃陶瓷车针</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ZGB2-50D</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sz w:val="22"/>
                <w:szCs w:val="18"/>
                <w:highlight w:val="none"/>
                <w:lang w:val="en-US" w:eastAsia="zh-CN"/>
              </w:rPr>
              <w:t>支</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罗兰切割机</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630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3150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71</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玻璃陶瓷车针</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ZGB2-125D</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sz w:val="22"/>
                <w:szCs w:val="18"/>
                <w:highlight w:val="none"/>
                <w:lang w:val="en-US" w:eastAsia="zh-CN"/>
              </w:rPr>
              <w:t>支</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罗兰切割机</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630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3150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72</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车针</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ZPB-30D</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sz w:val="22"/>
                <w:szCs w:val="18"/>
                <w:highlight w:val="none"/>
                <w:lang w:val="en-US" w:eastAsia="zh-CN"/>
              </w:rPr>
              <w:t>支</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罗兰切割机</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600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3000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73</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车针</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ZPB-50D</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sz w:val="22"/>
                <w:szCs w:val="18"/>
                <w:highlight w:val="none"/>
                <w:lang w:val="en-US" w:eastAsia="zh-CN"/>
              </w:rPr>
              <w:t>支</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罗兰切割机</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600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3000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74</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车针</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ZPB-100D</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sz w:val="22"/>
                <w:szCs w:val="18"/>
                <w:highlight w:val="none"/>
                <w:lang w:val="en-US" w:eastAsia="zh-CN"/>
              </w:rPr>
              <w:t>支</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罗兰切割机</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600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3000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75</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车针</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ZRB-200D</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sz w:val="22"/>
                <w:szCs w:val="18"/>
                <w:highlight w:val="none"/>
                <w:lang w:val="en-US" w:eastAsia="zh-CN"/>
              </w:rPr>
              <w:t>支</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罗兰切割机</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680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5</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3400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76</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氧化锆车针(国产)</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D4×0.6</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sz w:val="22"/>
                <w:szCs w:val="18"/>
                <w:highlight w:val="none"/>
                <w:lang w:val="en-US" w:eastAsia="zh-CN"/>
              </w:rPr>
              <w:t>支</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罗兰切割机</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280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2800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77</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氧化锆车针(国产)</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D4×1.0</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sz w:val="22"/>
                <w:szCs w:val="18"/>
                <w:highlight w:val="none"/>
                <w:lang w:val="en-US" w:eastAsia="zh-CN"/>
              </w:rPr>
              <w:t>支</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罗兰切割机</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280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2800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78</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氧化锆车针(国产)</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D4×2.0</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sz w:val="22"/>
                <w:szCs w:val="18"/>
                <w:highlight w:val="none"/>
                <w:lang w:val="en-US" w:eastAsia="zh-CN"/>
              </w:rPr>
              <w:t>支</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罗兰切割机</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280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2800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79</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树脂车针(国产)</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PMMA D4×0.6</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sz w:val="22"/>
                <w:szCs w:val="18"/>
                <w:highlight w:val="none"/>
                <w:lang w:val="en-US" w:eastAsia="zh-CN"/>
              </w:rPr>
              <w:t>支</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罗兰切割机</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240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2400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80</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树脂车针(国产)</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PMMA D4×1.0</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sz w:val="22"/>
                <w:szCs w:val="18"/>
                <w:highlight w:val="none"/>
                <w:lang w:val="en-US" w:eastAsia="zh-CN"/>
              </w:rPr>
              <w:t>支</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罗兰切割机</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240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2400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81</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树脂车针(国产)</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PMMA D4×2.0</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kern w:val="2"/>
                <w:sz w:val="22"/>
                <w:szCs w:val="18"/>
                <w:highlight w:val="none"/>
                <w:lang w:val="en-US" w:eastAsia="zh-CN" w:bidi="ar-SA"/>
              </w:rPr>
            </w:pPr>
            <w:r>
              <w:rPr>
                <w:rFonts w:hint="eastAsia" w:ascii="仿宋" w:hAnsi="仿宋" w:eastAsia="仿宋" w:cs="仿宋"/>
                <w:color w:val="auto"/>
                <w:sz w:val="22"/>
                <w:szCs w:val="18"/>
                <w:highlight w:val="none"/>
                <w:lang w:val="en-US" w:eastAsia="zh-CN"/>
              </w:rPr>
              <w:t>支</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罗兰切割机</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240</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10</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2400</w:t>
            </w:r>
          </w:p>
        </w:tc>
      </w:tr>
      <w:tr>
        <w:tblPrEx>
          <w:tblCellMar>
            <w:top w:w="0" w:type="dxa"/>
            <w:left w:w="108" w:type="dxa"/>
            <w:bottom w:w="0" w:type="dxa"/>
            <w:right w:w="108" w:type="dxa"/>
          </w:tblCellMar>
        </w:tblPrEx>
        <w:trPr>
          <w:trHeight w:val="450" w:hRule="atLeast"/>
        </w:trPr>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82</w:t>
            </w:r>
          </w:p>
        </w:tc>
        <w:tc>
          <w:tcPr>
            <w:tcW w:w="117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滤芯DWX-42Wi用</w:t>
            </w:r>
          </w:p>
        </w:tc>
        <w:tc>
          <w:tcPr>
            <w:tcW w:w="974" w:type="pct"/>
            <w:tcBorders>
              <w:top w:val="single" w:color="auto" w:sz="4" w:space="0"/>
              <w:left w:val="single" w:color="auto" w:sz="4" w:space="0"/>
              <w:bottom w:val="single" w:color="auto" w:sz="4" w:space="0"/>
              <w:right w:val="single" w:color="auto" w:sz="4" w:space="0"/>
            </w:tcBorders>
            <w:shd w:val="clear" w:color="auto" w:fill="auto"/>
            <w:noWrap/>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ZF2-CLD3M</w:t>
            </w:r>
          </w:p>
        </w:tc>
        <w:tc>
          <w:tcPr>
            <w:tcW w:w="38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只</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罗兰切割机</w:t>
            </w:r>
          </w:p>
        </w:tc>
        <w:tc>
          <w:tcPr>
            <w:tcW w:w="363"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425</w:t>
            </w:r>
          </w:p>
        </w:tc>
        <w:tc>
          <w:tcPr>
            <w:tcW w:w="540" w:type="pct"/>
            <w:tcBorders>
              <w:top w:val="single" w:color="auto" w:sz="4" w:space="0"/>
              <w:left w:val="single" w:color="auto" w:sz="4" w:space="0"/>
              <w:bottom w:val="single" w:color="auto" w:sz="4" w:space="0"/>
              <w:right w:val="single" w:color="auto" w:sz="4" w:space="0"/>
            </w:tcBorders>
            <w:shd w:val="clear" w:color="000000" w:fill="FFFFFF"/>
            <w:noWrap w:val="0"/>
            <w:vAlign w:val="bottom"/>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2</w:t>
            </w:r>
          </w:p>
        </w:tc>
        <w:tc>
          <w:tcPr>
            <w:tcW w:w="462"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33"/>
              <w:spacing w:line="240" w:lineRule="auto"/>
              <w:ind w:left="0" w:leftChars="0" w:firstLine="0" w:firstLineChars="0"/>
              <w:jc w:val="center"/>
              <w:rPr>
                <w:rFonts w:hint="eastAsia" w:ascii="仿宋" w:hAnsi="仿宋" w:eastAsia="仿宋" w:cs="仿宋"/>
                <w:color w:val="auto"/>
                <w:sz w:val="22"/>
                <w:szCs w:val="18"/>
                <w:highlight w:val="none"/>
                <w:lang w:val="en-US" w:eastAsia="zh-CN"/>
              </w:rPr>
            </w:pPr>
            <w:r>
              <w:rPr>
                <w:rFonts w:hint="eastAsia" w:ascii="仿宋" w:hAnsi="仿宋" w:eastAsia="仿宋" w:cs="仿宋"/>
                <w:color w:val="auto"/>
                <w:sz w:val="22"/>
                <w:szCs w:val="18"/>
                <w:highlight w:val="none"/>
                <w:lang w:val="en-US" w:eastAsia="zh-CN"/>
              </w:rPr>
              <w:t>850</w:t>
            </w:r>
          </w:p>
        </w:tc>
      </w:tr>
    </w:tbl>
    <w:p>
      <w:pPr>
        <w:pStyle w:val="33"/>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3、项目要求</w:t>
      </w:r>
    </w:p>
    <w:p>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3.1品牌、型号：根据采购人要求，在投标文件中注明所投产品得品牌、型号、规格等，并承诺中标后提供相对应的产品。</w:t>
      </w:r>
    </w:p>
    <w:p>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3.2采购数量：根据采购人实际需求提供。</w:t>
      </w:r>
    </w:p>
    <w:p>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若中标后投标人未能按投标书提供相应功能，以及发现中标人在投标书中存在弄虚作假情况，采购单位有权取消合同，由此给采购单位造成的一切损失均由中标方承担。</w:t>
      </w:r>
    </w:p>
    <w:p>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保修服务要求：投标产品至少质保期6个月。在质保期内，如提供产品因本身质量问题出现故障，中标单位无条件更换产品。</w:t>
      </w:r>
    </w:p>
    <w:p>
      <w:pPr>
        <w:pStyle w:val="33"/>
        <w:spacing w:line="360" w:lineRule="auto"/>
        <w:ind w:firstLine="420" w:firstLineChars="200"/>
        <w:rPr>
          <w:rFonts w:hint="eastAsia" w:ascii="仿宋" w:hAnsi="仿宋" w:eastAsia="仿宋" w:cs="仿宋"/>
          <w:color w:val="auto"/>
          <w:sz w:val="24"/>
          <w:highlight w:val="none"/>
        </w:rPr>
      </w:pPr>
      <w:r>
        <w:rPr>
          <w:rFonts w:hint="eastAsia" w:ascii="仿宋" w:hAnsi="仿宋" w:eastAsia="仿宋" w:cs="仿宋"/>
          <w:color w:val="auto"/>
          <w:szCs w:val="24"/>
          <w:highlight w:val="none"/>
        </w:rPr>
        <w:t>▲</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保修质量要求：符合质量要求，发现该批次质量问题需</w:t>
      </w:r>
      <w:r>
        <w:rPr>
          <w:rFonts w:hint="eastAsia" w:ascii="仿宋" w:hAnsi="仿宋" w:eastAsia="仿宋" w:cs="仿宋"/>
          <w:color w:val="auto"/>
          <w:sz w:val="24"/>
          <w:highlight w:val="none"/>
          <w:lang w:val="en-US" w:eastAsia="zh-CN"/>
        </w:rPr>
        <w:t>及时</w:t>
      </w:r>
      <w:r>
        <w:rPr>
          <w:rFonts w:hint="eastAsia" w:ascii="仿宋" w:hAnsi="仿宋" w:eastAsia="仿宋" w:cs="仿宋"/>
          <w:color w:val="auto"/>
          <w:sz w:val="24"/>
          <w:highlight w:val="none"/>
        </w:rPr>
        <w:t>调换</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超过72小时无实质响应采购人可不支</w:t>
      </w:r>
      <w:r>
        <w:rPr>
          <w:rFonts w:hint="eastAsia" w:ascii="仿宋" w:hAnsi="仿宋" w:eastAsia="仿宋" w:cs="仿宋"/>
          <w:color w:val="auto"/>
          <w:sz w:val="24"/>
          <w:highlight w:val="none"/>
        </w:rPr>
        <w:t>付该批次</w:t>
      </w:r>
      <w:r>
        <w:rPr>
          <w:rFonts w:hint="eastAsia" w:ascii="仿宋" w:hAnsi="仿宋" w:eastAsia="仿宋" w:cs="仿宋"/>
          <w:color w:val="auto"/>
          <w:sz w:val="24"/>
          <w:highlight w:val="none"/>
          <w:lang w:val="en-US" w:eastAsia="zh-CN"/>
        </w:rPr>
        <w:t>货</w:t>
      </w:r>
      <w:r>
        <w:rPr>
          <w:rFonts w:hint="eastAsia" w:ascii="仿宋" w:hAnsi="仿宋" w:eastAsia="仿宋" w:cs="仿宋"/>
          <w:color w:val="auto"/>
          <w:sz w:val="24"/>
          <w:highlight w:val="none"/>
        </w:rPr>
        <w:t>款。</w:t>
      </w:r>
    </w:p>
    <w:p>
      <w:pPr>
        <w:pStyle w:val="33"/>
        <w:spacing w:line="360" w:lineRule="auto"/>
        <w:ind w:firstLine="420" w:firstLineChars="200"/>
        <w:rPr>
          <w:rFonts w:hint="eastAsia" w:ascii="仿宋" w:hAnsi="仿宋" w:eastAsia="仿宋" w:cs="仿宋"/>
          <w:color w:val="auto"/>
          <w:sz w:val="24"/>
          <w:highlight w:val="none"/>
        </w:rPr>
      </w:pPr>
      <w:r>
        <w:rPr>
          <w:rFonts w:hint="eastAsia" w:ascii="仿宋" w:hAnsi="仿宋" w:eastAsia="仿宋" w:cs="仿宋"/>
          <w:color w:val="auto"/>
          <w:szCs w:val="24"/>
          <w:highlight w:val="none"/>
        </w:rPr>
        <w:t>▲</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供货价格：送货单上必须注明单价，根据中标下浮率进行调整单价且不能高于市场价，开具发票时应按招标条款结算，否则采购人有权拒绝付款。</w:t>
      </w:r>
    </w:p>
    <w:p>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出现下列情形的，采购单位有权单方面中止合同</w:t>
      </w:r>
    </w:p>
    <w:p>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1）中标单位未按采购人规定时间供货或以买不到为由不送货累计出现三次的。</w:t>
      </w:r>
    </w:p>
    <w:p>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2）质量、规格验收不符要求（一律退货），使用中发现产品有质量问题或货物为非标产品累计出现三次的。</w:t>
      </w:r>
    </w:p>
    <w:p>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3）凡供货物品价格高于市场同期价（指甲方同期购买、同规格、同质量、同产品的价格）累计三次的。</w:t>
      </w:r>
    </w:p>
    <w:p>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4）中标单位提供产品经查实为同品牌假冒产品替代的。</w:t>
      </w:r>
    </w:p>
    <w:p>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rPr>
        <w:t>4、付款方式：中标方提</w:t>
      </w:r>
      <w:r>
        <w:rPr>
          <w:rFonts w:hint="eastAsia" w:ascii="仿宋" w:hAnsi="仿宋" w:eastAsia="仿宋" w:cs="仿宋"/>
          <w:color w:val="auto"/>
          <w:sz w:val="24"/>
          <w:highlight w:val="none"/>
        </w:rPr>
        <w:t>供正规发票，医院按月结算费用。</w:t>
      </w:r>
    </w:p>
    <w:p>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5、合同期限：一年，</w:t>
      </w:r>
      <w:r>
        <w:rPr>
          <w:rFonts w:hint="eastAsia" w:ascii="仿宋" w:hAnsi="仿宋" w:eastAsia="仿宋" w:cs="仿宋"/>
          <w:color w:val="auto"/>
          <w:sz w:val="24"/>
          <w:highlight w:val="none"/>
          <w:lang w:val="en-US" w:eastAsia="zh-CN"/>
        </w:rPr>
        <w:t>合同上限价500000元，合同期满或到达上限价提前结束合同。</w:t>
      </w: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702"/>
        <w:ind w:left="0" w:leftChars="0" w:firstLine="0" w:firstLineChars="0"/>
        <w:rPr>
          <w:rFonts w:hint="eastAsia" w:ascii="仿宋" w:hAnsi="仿宋" w:eastAsia="仿宋" w:cs="仿宋"/>
          <w:color w:val="auto"/>
          <w:szCs w:val="24"/>
          <w:highlight w:val="none"/>
        </w:rPr>
      </w:pPr>
    </w:p>
    <w:p>
      <w:pPr>
        <w:pStyle w:val="702"/>
        <w:jc w:val="center"/>
        <w:rPr>
          <w:rFonts w:hint="eastAsia" w:ascii="仿宋" w:hAnsi="仿宋" w:eastAsia="仿宋" w:cs="仿宋"/>
          <w:color w:val="auto"/>
          <w:szCs w:val="24"/>
          <w:highlight w:val="none"/>
        </w:rPr>
      </w:pPr>
    </w:p>
    <w:p>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702"/>
        <w:rPr>
          <w:rFonts w:hint="eastAsia" w:ascii="仿宋" w:hAnsi="仿宋" w:eastAsia="仿宋" w:cs="仿宋"/>
          <w:color w:val="auto"/>
          <w:szCs w:val="24"/>
          <w:highlight w:val="none"/>
        </w:rPr>
      </w:pPr>
    </w:p>
    <w:p>
      <w:pPr>
        <w:pStyle w:val="702"/>
        <w:rPr>
          <w:rFonts w:hint="eastAsia" w:ascii="仿宋" w:hAnsi="仿宋" w:eastAsia="仿宋" w:cs="仿宋"/>
          <w:color w:val="auto"/>
          <w:szCs w:val="24"/>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600"/>
        <w:spacing w:before="120" w:line="22" w:lineRule="atLeast"/>
        <w:rPr>
          <w:rFonts w:hint="eastAsia" w:ascii="仿宋" w:hAnsi="仿宋" w:eastAsia="仿宋" w:cs="仿宋"/>
          <w:color w:val="auto"/>
          <w:szCs w:val="24"/>
          <w:highlight w:val="none"/>
        </w:rPr>
      </w:pPr>
    </w:p>
    <w:p>
      <w:pPr>
        <w:pStyle w:val="600"/>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b/>
          <w:color w:val="auto"/>
          <w:sz w:val="24"/>
          <w:highlight w:val="none"/>
        </w:rPr>
      </w:pPr>
      <w:bookmarkStart w:id="38" w:name="_Toc3029"/>
      <w:bookmarkStart w:id="39" w:name="_Toc2232"/>
      <w:bookmarkStart w:id="40" w:name="_Toc24059"/>
      <w:r>
        <w:rPr>
          <w:rFonts w:hint="eastAsia" w:ascii="仿宋" w:hAnsi="仿宋" w:eastAsia="仿宋" w:cs="仿宋"/>
          <w:b/>
          <w:color w:val="auto"/>
          <w:sz w:val="24"/>
          <w:highlight w:val="none"/>
        </w:rPr>
        <w:t>1.1 合同组成部分</w:t>
      </w:r>
      <w:bookmarkEnd w:id="38"/>
      <w:bookmarkEnd w:id="39"/>
      <w:bookmarkEnd w:id="4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bookmarkStart w:id="41" w:name="_Toc21295"/>
      <w:bookmarkStart w:id="42" w:name="_Toc27126"/>
      <w:bookmarkStart w:id="43" w:name="_Toc24300"/>
      <w:r>
        <w:rPr>
          <w:rFonts w:hint="eastAsia" w:ascii="仿宋" w:hAnsi="仿宋" w:eastAsia="仿宋" w:cs="仿宋"/>
          <w:b/>
          <w:color w:val="auto"/>
          <w:sz w:val="24"/>
          <w:highlight w:val="none"/>
        </w:rPr>
        <w:t>1.2 货物</w:t>
      </w:r>
      <w:bookmarkEnd w:id="41"/>
      <w:bookmarkEnd w:id="42"/>
      <w:bookmarkEnd w:id="43"/>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pPr>
        <w:spacing w:line="560" w:lineRule="exact"/>
        <w:ind w:firstLine="482" w:firstLineChars="200"/>
        <w:outlineLvl w:val="0"/>
        <w:rPr>
          <w:rFonts w:hint="eastAsia" w:ascii="仿宋" w:hAnsi="仿宋" w:eastAsia="仿宋" w:cs="仿宋"/>
          <w:b/>
          <w:color w:val="auto"/>
          <w:sz w:val="24"/>
          <w:highlight w:val="none"/>
        </w:rPr>
      </w:pPr>
      <w:bookmarkStart w:id="44" w:name="_Toc23292"/>
      <w:bookmarkStart w:id="45" w:name="_Toc21551"/>
      <w:bookmarkStart w:id="46" w:name="_Toc21631"/>
      <w:r>
        <w:rPr>
          <w:rFonts w:hint="eastAsia" w:ascii="仿宋" w:hAnsi="仿宋" w:eastAsia="仿宋" w:cs="仿宋"/>
          <w:b/>
          <w:color w:val="auto"/>
          <w:sz w:val="24"/>
          <w:highlight w:val="none"/>
        </w:rPr>
        <w:t>1.3 价款</w:t>
      </w:r>
      <w:bookmarkEnd w:id="44"/>
      <w:bookmarkEnd w:id="45"/>
      <w:bookmarkEnd w:id="4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bl>
    <w:p>
      <w:pPr>
        <w:pStyle w:val="958"/>
        <w:spacing w:before="0" w:beforeAutospacing="0" w:after="0" w:afterAutospacing="0" w:line="360" w:lineRule="auto"/>
        <w:ind w:firstLine="480"/>
        <w:rPr>
          <w:rFonts w:hint="eastAsia" w:ascii="仿宋" w:hAnsi="仿宋" w:eastAsia="仿宋" w:cs="仿宋"/>
          <w:b/>
          <w:color w:val="auto"/>
          <w:highlight w:val="none"/>
        </w:rPr>
      </w:pPr>
      <w:bookmarkStart w:id="47" w:name="_Toc1814"/>
      <w:bookmarkStart w:id="48" w:name="_Toc10340"/>
      <w:bookmarkStart w:id="49" w:name="_Toc22618"/>
      <w:r>
        <w:rPr>
          <w:rFonts w:hint="eastAsia" w:ascii="仿宋" w:hAnsi="仿宋" w:eastAsia="仿宋" w:cs="仿宋"/>
          <w:b/>
          <w:color w:val="auto"/>
          <w:highlight w:val="none"/>
        </w:rPr>
        <w:t>1.4履约保证金</w:t>
      </w:r>
    </w:p>
    <w:p>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4"/>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47"/>
      <w:bookmarkEnd w:id="48"/>
      <w:bookmarkEnd w:id="49"/>
      <w:r>
        <w:rPr>
          <w:rFonts w:hint="eastAsia" w:ascii="仿宋" w:hAnsi="仿宋" w:eastAsia="仿宋" w:cs="仿宋"/>
          <w:b/>
          <w:color w:val="auto"/>
          <w:sz w:val="24"/>
          <w:highlight w:val="none"/>
        </w:rPr>
        <w:t>预付款</w:t>
      </w:r>
    </w:p>
    <w:p>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50" w:name="_Toc2846"/>
      <w:bookmarkStart w:id="51" w:name="_Toc32071"/>
      <w:bookmarkStart w:id="52" w:name="_Toc19304"/>
      <w:r>
        <w:rPr>
          <w:rFonts w:hint="eastAsia" w:ascii="仿宋" w:hAnsi="仿宋" w:eastAsia="仿宋" w:cs="仿宋"/>
          <w:b/>
          <w:color w:val="auto"/>
          <w:sz w:val="24"/>
          <w:highlight w:val="none"/>
        </w:rPr>
        <w:t>1.7货物交付期限、地点和方式</w:t>
      </w:r>
      <w:bookmarkEnd w:id="50"/>
      <w:bookmarkEnd w:id="51"/>
      <w:bookmarkEnd w:id="52"/>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53" w:name="_Toc27250"/>
      <w:bookmarkStart w:id="54" w:name="_Toc19554"/>
      <w:bookmarkStart w:id="55" w:name="_Toc21423"/>
      <w:r>
        <w:rPr>
          <w:rFonts w:hint="eastAsia" w:ascii="仿宋" w:hAnsi="仿宋" w:eastAsia="仿宋" w:cs="仿宋"/>
          <w:b/>
          <w:color w:val="auto"/>
          <w:sz w:val="24"/>
          <w:highlight w:val="none"/>
        </w:rPr>
        <w:t>1.8违约责任</w:t>
      </w:r>
      <w:bookmarkEnd w:id="53"/>
      <w:bookmarkEnd w:id="54"/>
      <w:bookmarkEnd w:id="5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hint="eastAsia" w:ascii="仿宋" w:hAnsi="仿宋" w:eastAsia="仿宋" w:cs="仿宋"/>
          <w:b/>
          <w:color w:val="auto"/>
          <w:sz w:val="24"/>
          <w:highlight w:val="none"/>
        </w:rPr>
      </w:pPr>
      <w:bookmarkStart w:id="56" w:name="_Toc28375"/>
      <w:bookmarkStart w:id="57" w:name="_Toc16021"/>
      <w:bookmarkStart w:id="58" w:name="_Toc15583"/>
      <w:r>
        <w:rPr>
          <w:rFonts w:hint="eastAsia" w:ascii="仿宋" w:hAnsi="仿宋" w:eastAsia="仿宋" w:cs="仿宋"/>
          <w:b/>
          <w:color w:val="auto"/>
          <w:sz w:val="24"/>
          <w:highlight w:val="none"/>
        </w:rPr>
        <w:t>1.9合同争议的解决</w:t>
      </w:r>
      <w:bookmarkEnd w:id="56"/>
      <w:bookmarkEnd w:id="57"/>
      <w:bookmarkEnd w:id="58"/>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bookmarkStart w:id="59" w:name="_Toc11173"/>
      <w:bookmarkStart w:id="60" w:name="_Toc15322"/>
      <w:bookmarkStart w:id="61" w:name="_Toc7245"/>
      <w:r>
        <w:rPr>
          <w:rFonts w:hint="eastAsia" w:ascii="仿宋" w:hAnsi="仿宋" w:eastAsia="仿宋" w:cs="仿宋"/>
          <w:b/>
          <w:color w:val="auto"/>
          <w:sz w:val="24"/>
          <w:highlight w:val="none"/>
        </w:rPr>
        <w:t>2.0 合同生效</w:t>
      </w:r>
      <w:bookmarkEnd w:id="59"/>
      <w:bookmarkEnd w:id="60"/>
      <w:bookmarkEnd w:id="61"/>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62" w:name="_Ref467379225"/>
      <w:bookmarkStart w:id="63" w:name="_Ref467379094"/>
      <w:bookmarkStart w:id="64" w:name="_Ref467379195"/>
      <w:bookmarkStart w:id="65" w:name="_Ref467379214"/>
      <w:bookmarkStart w:id="66" w:name="_Ref467378404"/>
      <w:bookmarkStart w:id="67" w:name="_Toc279701240"/>
      <w:bookmarkStart w:id="68" w:name="_Toc28763"/>
      <w:bookmarkStart w:id="69" w:name="_Ref467378499"/>
      <w:bookmarkStart w:id="70" w:name="_Ref467379205"/>
      <w:bookmarkStart w:id="71" w:name="_Ref467379109"/>
      <w:bookmarkStart w:id="72" w:name="_Toc487900349"/>
      <w:bookmarkStart w:id="73" w:name="_Ref467379101"/>
      <w:bookmarkStart w:id="74" w:name="_Toc259093669"/>
      <w:bookmarkStart w:id="75" w:name="_Toc19614"/>
      <w:bookmarkStart w:id="76" w:name="_Ref467378463"/>
      <w:bookmarkStart w:id="77" w:name="_Toc16917"/>
      <w:r>
        <w:rPr>
          <w:rFonts w:hint="eastAsia" w:ascii="仿宋" w:hAnsi="仿宋" w:eastAsia="仿宋" w:cs="仿宋"/>
          <w:b/>
          <w:color w:val="auto"/>
          <w:sz w:val="24"/>
          <w:highlight w:val="none"/>
        </w:rPr>
        <w:t>2.1 定义</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78" w:name="_Ref467378840"/>
      <w:r>
        <w:rPr>
          <w:rFonts w:hint="eastAsia" w:ascii="仿宋" w:hAnsi="仿宋" w:eastAsia="仿宋" w:cs="仿宋"/>
          <w:color w:val="auto"/>
          <w:sz w:val="24"/>
          <w:highlight w:val="none"/>
        </w:rPr>
        <w:t>2.1.4 “甲方”系指与中标或成交供应商签署合同的采购人</w:t>
      </w:r>
      <w:bookmarkEnd w:id="78"/>
      <w:r>
        <w:rPr>
          <w:rFonts w:hint="eastAsia" w:ascii="仿宋" w:hAnsi="仿宋" w:eastAsia="仿宋" w:cs="仿宋"/>
          <w:color w:val="auto"/>
          <w:sz w:val="24"/>
          <w:highlight w:val="none"/>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bookmarkStart w:id="79" w:name="_Ref467379400"/>
      <w:r>
        <w:rPr>
          <w:rFonts w:hint="eastAsia" w:ascii="仿宋" w:hAnsi="仿宋" w:eastAsia="仿宋" w:cs="仿宋"/>
          <w:color w:val="auto"/>
          <w:sz w:val="24"/>
          <w:highlight w:val="none"/>
        </w:rPr>
        <w:t>2.1.5 “乙方”系指根据合同约定交付货物的中标或成交供应商</w:t>
      </w:r>
      <w:bookmarkEnd w:id="79"/>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80" w:name="_Ref467379436"/>
      <w:r>
        <w:rPr>
          <w:rFonts w:hint="eastAsia" w:ascii="仿宋" w:hAnsi="仿宋" w:eastAsia="仿宋" w:cs="仿宋"/>
          <w:color w:val="auto"/>
          <w:sz w:val="24"/>
          <w:highlight w:val="none"/>
        </w:rPr>
        <w:t>2.1.6 “现场”系指合同约定货物将要运至或者安装的地点。</w:t>
      </w:r>
      <w:bookmarkEnd w:id="80"/>
    </w:p>
    <w:p>
      <w:pPr>
        <w:spacing w:line="560" w:lineRule="exact"/>
        <w:ind w:firstLine="482" w:firstLineChars="200"/>
        <w:outlineLvl w:val="0"/>
        <w:rPr>
          <w:rFonts w:hint="eastAsia" w:ascii="仿宋" w:hAnsi="仿宋" w:eastAsia="仿宋" w:cs="仿宋"/>
          <w:b/>
          <w:color w:val="auto"/>
          <w:sz w:val="24"/>
          <w:highlight w:val="none"/>
        </w:rPr>
      </w:pPr>
      <w:bookmarkStart w:id="81" w:name="_Toc32504"/>
      <w:bookmarkStart w:id="82" w:name="_Toc27635"/>
      <w:bookmarkStart w:id="83" w:name="_Toc13336"/>
      <w:bookmarkStart w:id="84" w:name="_Toc487900350"/>
      <w:bookmarkStart w:id="85" w:name="_Toc259093670"/>
      <w:bookmarkStart w:id="86" w:name="_Toc279701241"/>
      <w:r>
        <w:rPr>
          <w:rFonts w:hint="eastAsia" w:ascii="仿宋" w:hAnsi="仿宋" w:eastAsia="仿宋" w:cs="仿宋"/>
          <w:b/>
          <w:color w:val="auto"/>
          <w:sz w:val="24"/>
          <w:highlight w:val="none"/>
        </w:rPr>
        <w:t>2.2 技术规范</w:t>
      </w:r>
      <w:bookmarkEnd w:id="81"/>
      <w:bookmarkEnd w:id="82"/>
      <w:bookmarkEnd w:id="83"/>
      <w:bookmarkEnd w:id="84"/>
      <w:bookmarkEnd w:id="85"/>
      <w:bookmarkEnd w:id="8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87" w:name="_Toc279701242"/>
      <w:bookmarkStart w:id="88" w:name="_Toc31634"/>
      <w:bookmarkStart w:id="89" w:name="_Toc9829"/>
      <w:bookmarkStart w:id="90" w:name="_Toc487900351"/>
      <w:bookmarkStart w:id="91" w:name="_Toc259093671"/>
      <w:bookmarkStart w:id="92" w:name="_Toc27853"/>
      <w:r>
        <w:rPr>
          <w:rFonts w:hint="eastAsia" w:ascii="仿宋" w:hAnsi="仿宋" w:eastAsia="仿宋" w:cs="仿宋"/>
          <w:b/>
          <w:color w:val="auto"/>
          <w:sz w:val="24"/>
          <w:highlight w:val="none"/>
        </w:rPr>
        <w:t>2.3 知识产权</w:t>
      </w:r>
      <w:bookmarkEnd w:id="87"/>
      <w:bookmarkEnd w:id="88"/>
      <w:bookmarkEnd w:id="89"/>
      <w:bookmarkEnd w:id="90"/>
      <w:bookmarkEnd w:id="91"/>
      <w:bookmarkEnd w:id="9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93" w:name="_Toc4194"/>
      <w:bookmarkStart w:id="94" w:name="_Toc11932"/>
      <w:bookmarkStart w:id="95" w:name="_Toc29149"/>
      <w:r>
        <w:rPr>
          <w:rFonts w:hint="eastAsia" w:ascii="仿宋" w:hAnsi="仿宋" w:eastAsia="仿宋" w:cs="仿宋"/>
          <w:b/>
          <w:color w:val="auto"/>
          <w:sz w:val="24"/>
          <w:highlight w:val="none"/>
        </w:rPr>
        <w:t>2.4 包装和装运</w:t>
      </w:r>
      <w:bookmarkEnd w:id="93"/>
      <w:bookmarkEnd w:id="94"/>
      <w:bookmarkEnd w:id="9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96" w:name="_Toc279701245"/>
      <w:bookmarkStart w:id="97" w:name="_Ref467378541"/>
      <w:bookmarkStart w:id="98" w:name="_Ref467379536"/>
      <w:bookmarkStart w:id="99" w:name="_Ref467379527"/>
      <w:bookmarkStart w:id="100" w:name="_Toc259093674"/>
      <w:bookmarkStart w:id="101" w:name="_Ref467378591"/>
      <w:bookmarkStart w:id="102" w:name="_Ref467379542"/>
      <w:bookmarkStart w:id="103" w:name="_Toc487900354"/>
      <w:bookmarkStart w:id="104" w:name="_Toc30272"/>
      <w:bookmarkStart w:id="105" w:name="_Toc19074"/>
      <w:bookmarkStart w:id="106" w:name="_Toc26182"/>
      <w:r>
        <w:rPr>
          <w:rFonts w:hint="eastAsia" w:ascii="仿宋" w:hAnsi="仿宋" w:eastAsia="仿宋" w:cs="仿宋"/>
          <w:b/>
          <w:color w:val="auto"/>
          <w:sz w:val="24"/>
          <w:highlight w:val="none"/>
        </w:rPr>
        <w:t>2.</w:t>
      </w:r>
      <w:bookmarkEnd w:id="96"/>
      <w:bookmarkEnd w:id="97"/>
      <w:bookmarkEnd w:id="98"/>
      <w:bookmarkEnd w:id="99"/>
      <w:bookmarkEnd w:id="100"/>
      <w:bookmarkEnd w:id="101"/>
      <w:bookmarkEnd w:id="102"/>
      <w:bookmarkEnd w:id="103"/>
      <w:r>
        <w:rPr>
          <w:rFonts w:hint="eastAsia" w:ascii="仿宋" w:hAnsi="仿宋" w:eastAsia="仿宋" w:cs="仿宋"/>
          <w:b/>
          <w:color w:val="auto"/>
          <w:sz w:val="24"/>
          <w:highlight w:val="none"/>
        </w:rPr>
        <w:t>5 履约检查和问题反馈</w:t>
      </w:r>
      <w:bookmarkEnd w:id="104"/>
      <w:bookmarkEnd w:id="105"/>
      <w:bookmarkEnd w:id="106"/>
    </w:p>
    <w:p>
      <w:pPr>
        <w:spacing w:line="560" w:lineRule="exact"/>
        <w:ind w:firstLine="480" w:firstLineChars="200"/>
        <w:rPr>
          <w:rFonts w:hint="eastAsia" w:ascii="仿宋" w:hAnsi="仿宋" w:eastAsia="仿宋" w:cs="仿宋"/>
          <w:color w:val="auto"/>
          <w:sz w:val="24"/>
          <w:highlight w:val="none"/>
        </w:rPr>
      </w:pPr>
      <w:bookmarkStart w:id="107" w:name="_Ref467379657"/>
      <w:r>
        <w:rPr>
          <w:rFonts w:hint="eastAsia" w:ascii="仿宋" w:hAnsi="仿宋" w:eastAsia="仿宋" w:cs="仿宋"/>
          <w:color w:val="auto"/>
          <w:sz w:val="24"/>
          <w:highlight w:val="none"/>
        </w:rPr>
        <w:t>2.5.1</w:t>
      </w:r>
      <w:bookmarkEnd w:id="107"/>
      <w:bookmarkStart w:id="108" w:name="_Toc186431854"/>
      <w:bookmarkStart w:id="109" w:name="_Ref467379793"/>
      <w:bookmarkStart w:id="110" w:name="_Toc279701247"/>
      <w:bookmarkStart w:id="111" w:name="_Toc259093676"/>
      <w:bookmarkStart w:id="112" w:name="_Ref467379807"/>
      <w:bookmarkStart w:id="113" w:name="_Toc48790035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08"/>
      <w:bookmarkStart w:id="114" w:name="_Toc186431855"/>
      <w:r>
        <w:rPr>
          <w:rFonts w:hint="eastAsia" w:ascii="仿宋" w:hAnsi="仿宋" w:eastAsia="仿宋" w:cs="仿宋"/>
          <w:color w:val="auto"/>
          <w:sz w:val="24"/>
          <w:highlight w:val="none"/>
        </w:rPr>
        <w:t>。</w:t>
      </w:r>
    </w:p>
    <w:bookmarkEnd w:id="109"/>
    <w:bookmarkEnd w:id="110"/>
    <w:bookmarkEnd w:id="111"/>
    <w:bookmarkEnd w:id="112"/>
    <w:bookmarkEnd w:id="113"/>
    <w:bookmarkEnd w:id="114"/>
    <w:p>
      <w:pPr>
        <w:spacing w:line="560" w:lineRule="exact"/>
        <w:ind w:firstLine="482" w:firstLineChars="200"/>
        <w:outlineLvl w:val="0"/>
        <w:rPr>
          <w:rFonts w:hint="eastAsia" w:ascii="仿宋" w:hAnsi="仿宋" w:eastAsia="仿宋" w:cs="仿宋"/>
          <w:b/>
          <w:color w:val="auto"/>
          <w:sz w:val="24"/>
          <w:highlight w:val="none"/>
        </w:rPr>
      </w:pPr>
      <w:bookmarkStart w:id="115" w:name="_Toc259093677"/>
      <w:bookmarkStart w:id="116" w:name="_Ref467379852"/>
      <w:bookmarkStart w:id="117" w:name="_Ref467379863"/>
      <w:bookmarkStart w:id="118" w:name="_Toc487900358"/>
      <w:bookmarkStart w:id="119" w:name="_Ref467379923"/>
      <w:bookmarkStart w:id="120" w:name="_Toc279701248"/>
      <w:bookmarkStart w:id="121" w:name="_Toc774"/>
      <w:bookmarkStart w:id="122" w:name="_Toc3225"/>
      <w:bookmarkStart w:id="123" w:name="_Toc16110"/>
      <w:r>
        <w:rPr>
          <w:rFonts w:hint="eastAsia" w:ascii="仿宋" w:hAnsi="仿宋" w:eastAsia="仿宋" w:cs="仿宋"/>
          <w:b/>
          <w:color w:val="auto"/>
          <w:sz w:val="24"/>
          <w:highlight w:val="none"/>
        </w:rPr>
        <w:t>2.6 技术资料</w:t>
      </w:r>
      <w:bookmarkEnd w:id="115"/>
      <w:bookmarkEnd w:id="116"/>
      <w:bookmarkEnd w:id="117"/>
      <w:bookmarkEnd w:id="118"/>
      <w:bookmarkEnd w:id="119"/>
      <w:bookmarkEnd w:id="120"/>
      <w:r>
        <w:rPr>
          <w:rFonts w:hint="eastAsia" w:ascii="仿宋" w:hAnsi="仿宋" w:eastAsia="仿宋" w:cs="仿宋"/>
          <w:b/>
          <w:color w:val="auto"/>
          <w:sz w:val="24"/>
          <w:highlight w:val="none"/>
        </w:rPr>
        <w:t>和保密义务</w:t>
      </w:r>
      <w:bookmarkEnd w:id="121"/>
      <w:bookmarkEnd w:id="122"/>
      <w:bookmarkEnd w:id="12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24" w:name="_Toc7860"/>
      <w:r>
        <w:rPr>
          <w:rFonts w:hint="eastAsia" w:ascii="仿宋" w:hAnsi="仿宋" w:eastAsia="仿宋" w:cs="仿宋"/>
          <w:b/>
          <w:color w:val="auto"/>
          <w:sz w:val="24"/>
          <w:highlight w:val="none"/>
        </w:rPr>
        <w:t>2.7 质量保证</w:t>
      </w:r>
      <w:bookmarkEnd w:id="12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25" w:name="_Toc17244"/>
      <w:bookmarkStart w:id="126" w:name="_Toc279701252"/>
      <w:bookmarkStart w:id="127" w:name="_Toc487900362"/>
      <w:bookmarkStart w:id="128" w:name="_Toc259093681"/>
      <w:r>
        <w:rPr>
          <w:rFonts w:hint="eastAsia" w:ascii="仿宋" w:hAnsi="仿宋" w:eastAsia="仿宋" w:cs="仿宋"/>
          <w:b/>
          <w:color w:val="auto"/>
          <w:sz w:val="24"/>
          <w:highlight w:val="none"/>
        </w:rPr>
        <w:t>2.8 货物的风险负担</w:t>
      </w:r>
      <w:bookmarkEnd w:id="125"/>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29" w:name="_Toc14055"/>
      <w:r>
        <w:rPr>
          <w:rFonts w:hint="eastAsia" w:ascii="仿宋" w:hAnsi="仿宋" w:eastAsia="仿宋" w:cs="仿宋"/>
          <w:b/>
          <w:color w:val="auto"/>
          <w:sz w:val="24"/>
          <w:highlight w:val="none"/>
        </w:rPr>
        <w:t>2.9 延迟交货</w:t>
      </w:r>
      <w:bookmarkEnd w:id="126"/>
      <w:bookmarkEnd w:id="127"/>
      <w:bookmarkEnd w:id="128"/>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30" w:name="_Toc7502"/>
      <w:bookmarkStart w:id="131" w:name="_Ref467378121"/>
      <w:bookmarkStart w:id="132" w:name="_Toc279701254"/>
      <w:bookmarkStart w:id="133" w:name="_Toc259093683"/>
      <w:bookmarkStart w:id="134" w:name="_Toc487900364"/>
      <w:r>
        <w:rPr>
          <w:rFonts w:hint="eastAsia" w:ascii="仿宋" w:hAnsi="仿宋" w:eastAsia="仿宋" w:cs="仿宋"/>
          <w:b/>
          <w:color w:val="auto"/>
          <w:sz w:val="24"/>
          <w:highlight w:val="none"/>
        </w:rPr>
        <w:t>2.10 合同变更</w:t>
      </w:r>
      <w:bookmarkEnd w:id="13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35" w:name="_Toc487900369"/>
      <w:bookmarkStart w:id="136" w:name="_Toc259093688"/>
      <w:bookmarkStart w:id="137" w:name="_Toc279701259"/>
    </w:p>
    <w:p>
      <w:pPr>
        <w:spacing w:line="560" w:lineRule="exact"/>
        <w:ind w:firstLine="482" w:firstLineChars="200"/>
        <w:outlineLvl w:val="0"/>
        <w:rPr>
          <w:rFonts w:hint="eastAsia" w:ascii="仿宋" w:hAnsi="仿宋" w:eastAsia="仿宋" w:cs="仿宋"/>
          <w:b/>
          <w:color w:val="auto"/>
          <w:sz w:val="24"/>
          <w:highlight w:val="none"/>
        </w:rPr>
      </w:pPr>
      <w:bookmarkStart w:id="138" w:name="_Toc15237"/>
      <w:bookmarkStart w:id="139" w:name="_Toc22955"/>
      <w:bookmarkStart w:id="140" w:name="_Toc10366"/>
      <w:r>
        <w:rPr>
          <w:rFonts w:hint="eastAsia" w:ascii="仿宋" w:hAnsi="仿宋" w:eastAsia="仿宋" w:cs="仿宋"/>
          <w:b/>
          <w:color w:val="auto"/>
          <w:sz w:val="24"/>
          <w:highlight w:val="none"/>
        </w:rPr>
        <w:t>2.11 合同转让</w:t>
      </w:r>
      <w:bookmarkEnd w:id="135"/>
      <w:bookmarkEnd w:id="136"/>
      <w:bookmarkEnd w:id="137"/>
      <w:r>
        <w:rPr>
          <w:rFonts w:hint="eastAsia" w:ascii="仿宋" w:hAnsi="仿宋" w:eastAsia="仿宋" w:cs="仿宋"/>
          <w:b/>
          <w:color w:val="auto"/>
          <w:sz w:val="24"/>
          <w:highlight w:val="none"/>
        </w:rPr>
        <w:t>和分包</w:t>
      </w:r>
      <w:bookmarkEnd w:id="138"/>
      <w:bookmarkEnd w:id="139"/>
      <w:bookmarkEnd w:id="14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41" w:name="_Toc16508"/>
      <w:bookmarkStart w:id="142" w:name="_Toc13566"/>
      <w:bookmarkStart w:id="143" w:name="_Toc14066"/>
      <w:r>
        <w:rPr>
          <w:rFonts w:hint="eastAsia" w:ascii="仿宋" w:hAnsi="仿宋" w:eastAsia="仿宋" w:cs="仿宋"/>
          <w:b/>
          <w:color w:val="auto"/>
          <w:sz w:val="24"/>
          <w:highlight w:val="none"/>
        </w:rPr>
        <w:t>2.12 不可抗力</w:t>
      </w:r>
      <w:bookmarkEnd w:id="141"/>
      <w:bookmarkEnd w:id="142"/>
      <w:bookmarkEnd w:id="14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44" w:name="_Toc30676"/>
      <w:bookmarkStart w:id="145" w:name="_Toc487900365"/>
      <w:bookmarkStart w:id="146" w:name="_Toc279701255"/>
      <w:bookmarkStart w:id="147" w:name="_Toc689"/>
      <w:bookmarkStart w:id="148" w:name="_Toc259093684"/>
      <w:bookmarkStart w:id="149" w:name="_Toc6969"/>
      <w:r>
        <w:rPr>
          <w:rFonts w:hint="eastAsia" w:ascii="仿宋" w:hAnsi="仿宋" w:eastAsia="仿宋" w:cs="仿宋"/>
          <w:b/>
          <w:color w:val="auto"/>
          <w:sz w:val="24"/>
          <w:highlight w:val="none"/>
        </w:rPr>
        <w:t>2.13 税费</w:t>
      </w:r>
      <w:bookmarkEnd w:id="144"/>
      <w:bookmarkEnd w:id="145"/>
      <w:bookmarkEnd w:id="146"/>
      <w:bookmarkEnd w:id="147"/>
      <w:bookmarkEnd w:id="148"/>
      <w:bookmarkEnd w:id="14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50" w:name="_Toc7102"/>
      <w:bookmarkStart w:id="151" w:name="_Toc487900368"/>
      <w:bookmarkStart w:id="152" w:name="_Toc8298"/>
      <w:bookmarkStart w:id="153" w:name="_Toc279701258"/>
      <w:bookmarkStart w:id="154" w:name="_Toc16959"/>
      <w:bookmarkStart w:id="155" w:name="_Toc259093687"/>
      <w:r>
        <w:rPr>
          <w:rFonts w:hint="eastAsia" w:ascii="仿宋" w:hAnsi="仿宋" w:eastAsia="仿宋" w:cs="仿宋"/>
          <w:b/>
          <w:color w:val="auto"/>
          <w:sz w:val="24"/>
          <w:highlight w:val="none"/>
        </w:rPr>
        <w:t>2.14乙方破产</w:t>
      </w:r>
      <w:bookmarkEnd w:id="150"/>
      <w:bookmarkEnd w:id="151"/>
      <w:bookmarkEnd w:id="152"/>
      <w:bookmarkEnd w:id="153"/>
      <w:bookmarkEnd w:id="154"/>
      <w:bookmarkEnd w:id="15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56" w:name="_Toc6134"/>
      <w:bookmarkStart w:id="157" w:name="_Toc29333"/>
      <w:bookmarkStart w:id="158" w:name="_Toc15387"/>
      <w:r>
        <w:rPr>
          <w:rFonts w:hint="eastAsia" w:ascii="仿宋" w:hAnsi="仿宋" w:eastAsia="仿宋" w:cs="仿宋"/>
          <w:b/>
          <w:color w:val="auto"/>
          <w:sz w:val="24"/>
          <w:highlight w:val="none"/>
        </w:rPr>
        <w:t>2.15 合同中止、终止</w:t>
      </w:r>
      <w:bookmarkEnd w:id="156"/>
      <w:bookmarkEnd w:id="157"/>
      <w:bookmarkEnd w:id="15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59" w:name="_Toc14563"/>
      <w:bookmarkStart w:id="160" w:name="_Toc1125"/>
      <w:bookmarkStart w:id="161" w:name="_Toc6596"/>
      <w:r>
        <w:rPr>
          <w:rFonts w:hint="eastAsia" w:ascii="仿宋" w:hAnsi="仿宋" w:eastAsia="仿宋" w:cs="仿宋"/>
          <w:b/>
          <w:color w:val="auto"/>
          <w:sz w:val="24"/>
          <w:highlight w:val="none"/>
        </w:rPr>
        <w:t>2.16检验和验收</w:t>
      </w:r>
      <w:bookmarkEnd w:id="159"/>
      <w:bookmarkEnd w:id="160"/>
      <w:bookmarkEnd w:id="161"/>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1"/>
    <w:bookmarkEnd w:id="132"/>
    <w:bookmarkEnd w:id="133"/>
    <w:bookmarkEnd w:id="134"/>
    <w:p>
      <w:pPr>
        <w:spacing w:line="560" w:lineRule="exact"/>
        <w:ind w:firstLine="482" w:firstLineChars="200"/>
        <w:outlineLvl w:val="0"/>
        <w:rPr>
          <w:rFonts w:hint="eastAsia" w:ascii="仿宋" w:hAnsi="仿宋" w:eastAsia="仿宋" w:cs="仿宋"/>
          <w:b/>
          <w:color w:val="auto"/>
          <w:sz w:val="24"/>
          <w:highlight w:val="none"/>
        </w:rPr>
      </w:pPr>
      <w:bookmarkStart w:id="162" w:name="_Toc279701261"/>
      <w:bookmarkStart w:id="163" w:name="_Toc487900371"/>
      <w:bookmarkStart w:id="164" w:name="_Toc259093690"/>
      <w:bookmarkStart w:id="165" w:name="_Toc19604"/>
      <w:bookmarkStart w:id="166" w:name="_Toc25182"/>
      <w:bookmarkStart w:id="167" w:name="_Toc11284"/>
      <w:r>
        <w:rPr>
          <w:rFonts w:hint="eastAsia" w:ascii="仿宋" w:hAnsi="仿宋" w:eastAsia="仿宋" w:cs="仿宋"/>
          <w:b/>
          <w:color w:val="auto"/>
          <w:sz w:val="24"/>
          <w:highlight w:val="none"/>
        </w:rPr>
        <w:t>2.17 通知</w:t>
      </w:r>
      <w:bookmarkEnd w:id="162"/>
      <w:bookmarkEnd w:id="163"/>
      <w:bookmarkEnd w:id="164"/>
      <w:r>
        <w:rPr>
          <w:rFonts w:hint="eastAsia" w:ascii="仿宋" w:hAnsi="仿宋" w:eastAsia="仿宋" w:cs="仿宋"/>
          <w:b/>
          <w:color w:val="auto"/>
          <w:sz w:val="24"/>
          <w:highlight w:val="none"/>
        </w:rPr>
        <w:t>和送达</w:t>
      </w:r>
      <w:bookmarkEnd w:id="165"/>
      <w:bookmarkEnd w:id="166"/>
      <w:bookmarkEnd w:id="167"/>
    </w:p>
    <w:p>
      <w:pPr>
        <w:spacing w:line="560" w:lineRule="exact"/>
        <w:ind w:firstLine="480" w:firstLineChars="200"/>
        <w:rPr>
          <w:rFonts w:hint="eastAsia" w:ascii="仿宋" w:hAnsi="仿宋" w:eastAsia="仿宋" w:cs="仿宋"/>
          <w:color w:val="auto"/>
          <w:sz w:val="24"/>
          <w:highlight w:val="none"/>
        </w:rPr>
      </w:pPr>
      <w:bookmarkStart w:id="168" w:name="_Toc6698"/>
      <w:bookmarkStart w:id="169" w:name="_Toc3135"/>
      <w:bookmarkStart w:id="170" w:name="_Toc279701262"/>
      <w:bookmarkStart w:id="171" w:name="_Toc487900372"/>
      <w:bookmarkStart w:id="172" w:name="_Toc25909369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68"/>
      <w:bookmarkEnd w:id="169"/>
    </w:p>
    <w:p>
      <w:pPr>
        <w:spacing w:line="560" w:lineRule="exact"/>
        <w:ind w:firstLine="480" w:firstLineChars="200"/>
        <w:rPr>
          <w:rFonts w:hint="eastAsia" w:ascii="仿宋" w:hAnsi="仿宋" w:eastAsia="仿宋" w:cs="仿宋"/>
          <w:color w:val="auto"/>
          <w:sz w:val="24"/>
          <w:highlight w:val="none"/>
        </w:rPr>
      </w:pPr>
      <w:bookmarkStart w:id="173" w:name="_Toc23128"/>
      <w:bookmarkStart w:id="174"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3"/>
      <w:bookmarkEnd w:id="174"/>
    </w:p>
    <w:p>
      <w:pPr>
        <w:spacing w:line="560" w:lineRule="exact"/>
        <w:ind w:firstLine="482" w:firstLineChars="200"/>
        <w:outlineLvl w:val="0"/>
        <w:rPr>
          <w:rFonts w:hint="eastAsia" w:ascii="仿宋" w:hAnsi="仿宋" w:eastAsia="仿宋" w:cs="仿宋"/>
          <w:b/>
          <w:color w:val="auto"/>
          <w:sz w:val="24"/>
          <w:highlight w:val="none"/>
        </w:rPr>
      </w:pPr>
      <w:bookmarkStart w:id="175" w:name="_Toc30599"/>
      <w:bookmarkStart w:id="176" w:name="_Toc4355"/>
      <w:bookmarkStart w:id="177" w:name="_Toc18540"/>
      <w:r>
        <w:rPr>
          <w:rFonts w:hint="eastAsia" w:ascii="仿宋" w:hAnsi="仿宋" w:eastAsia="仿宋" w:cs="仿宋"/>
          <w:b/>
          <w:color w:val="auto"/>
          <w:sz w:val="24"/>
          <w:highlight w:val="none"/>
        </w:rPr>
        <w:t>2.18 计量单位</w:t>
      </w:r>
      <w:bookmarkEnd w:id="170"/>
      <w:bookmarkEnd w:id="171"/>
      <w:bookmarkEnd w:id="172"/>
      <w:bookmarkEnd w:id="175"/>
      <w:bookmarkEnd w:id="176"/>
      <w:bookmarkEnd w:id="17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78" w:name="_Toc12773"/>
      <w:bookmarkStart w:id="179" w:name="_Toc259093692"/>
      <w:bookmarkStart w:id="180" w:name="_Toc10330"/>
      <w:bookmarkStart w:id="181" w:name="_Toc18567"/>
      <w:bookmarkStart w:id="182" w:name="_Toc279701263"/>
      <w:bookmarkStart w:id="183" w:name="_Toc487900373"/>
      <w:r>
        <w:rPr>
          <w:rFonts w:hint="eastAsia" w:ascii="仿宋" w:hAnsi="仿宋" w:eastAsia="仿宋" w:cs="仿宋"/>
          <w:b/>
          <w:color w:val="auto"/>
          <w:sz w:val="24"/>
          <w:highlight w:val="none"/>
        </w:rPr>
        <w:t>2.19 合同使用的文字和适用的法律</w:t>
      </w:r>
      <w:bookmarkEnd w:id="178"/>
      <w:bookmarkEnd w:id="179"/>
      <w:bookmarkEnd w:id="180"/>
      <w:bookmarkEnd w:id="181"/>
      <w:bookmarkEnd w:id="182"/>
      <w:bookmarkEnd w:id="18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84" w:name="_Toc6885"/>
      <w:bookmarkStart w:id="185" w:name="_Toc19890"/>
      <w:bookmarkStart w:id="186" w:name="_Toc14001"/>
      <w:r>
        <w:rPr>
          <w:rFonts w:hint="eastAsia" w:ascii="仿宋" w:hAnsi="仿宋" w:eastAsia="仿宋" w:cs="仿宋"/>
          <w:b/>
          <w:color w:val="auto"/>
          <w:sz w:val="24"/>
          <w:highlight w:val="none"/>
        </w:rPr>
        <w:t>2.20 合同份数</w:t>
      </w:r>
      <w:bookmarkEnd w:id="184"/>
      <w:bookmarkEnd w:id="185"/>
      <w:bookmarkEnd w:id="18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pPr>
              <w:keepNext w:val="0"/>
              <w:keepLines w:val="0"/>
              <w:suppressLineNumbers w:val="0"/>
              <w:spacing w:before="0" w:beforeAutospacing="0" w:after="0" w:afterAutospacing="0"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pPr>
              <w:keepNext w:val="0"/>
              <w:keepLines w:val="0"/>
              <w:suppressLineNumbers w:val="0"/>
              <w:spacing w:before="0" w:beforeAutospacing="0" w:after="0" w:afterAutospacing="0"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40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60</w:t>
      </w:r>
      <w:r>
        <w:rPr>
          <w:rFonts w:hint="eastAsia" w:ascii="仿宋" w:hAnsi="仿宋" w:eastAsia="仿宋" w:cs="仿宋"/>
          <w:b/>
          <w:bCs/>
          <w:iCs/>
          <w:color w:val="auto"/>
          <w:sz w:val="24"/>
          <w:highlight w:val="none"/>
        </w:rPr>
        <w:t>分）</w:t>
      </w:r>
    </w:p>
    <w:tbl>
      <w:tblPr>
        <w:tblStyle w:val="63"/>
        <w:tblW w:w="877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6159"/>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701" w:type="dxa"/>
            <w:noWrap w:val="0"/>
            <w:vAlign w:val="center"/>
          </w:tcPr>
          <w:p>
            <w:pPr>
              <w:pStyle w:val="14"/>
              <w:tabs>
                <w:tab w:val="clear" w:pos="1697"/>
              </w:tabs>
              <w:spacing w:after="0" w:afterLines="0" w:line="440" w:lineRule="exact"/>
              <w:ind w:left="419" w:hanging="419" w:hangingChars="174"/>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评分内容</w:t>
            </w:r>
          </w:p>
        </w:tc>
        <w:tc>
          <w:tcPr>
            <w:tcW w:w="6159" w:type="dxa"/>
            <w:noWrap w:val="0"/>
            <w:vAlign w:val="center"/>
          </w:tcPr>
          <w:p>
            <w:pPr>
              <w:pStyle w:val="14"/>
              <w:tabs>
                <w:tab w:val="clear" w:pos="1697"/>
              </w:tabs>
              <w:spacing w:after="0" w:afterLines="0" w:line="440" w:lineRule="exact"/>
              <w:ind w:left="419" w:hanging="419" w:hangingChars="174"/>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评 分 说 明</w:t>
            </w:r>
          </w:p>
        </w:tc>
        <w:tc>
          <w:tcPr>
            <w:tcW w:w="914" w:type="dxa"/>
            <w:noWrap w:val="0"/>
            <w:vAlign w:val="center"/>
          </w:tcPr>
          <w:p>
            <w:pPr>
              <w:pStyle w:val="14"/>
              <w:tabs>
                <w:tab w:val="clear" w:pos="1697"/>
              </w:tabs>
              <w:spacing w:after="0" w:afterLines="0" w:line="440" w:lineRule="exact"/>
              <w:ind w:left="0" w:firstLine="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701" w:type="dxa"/>
            <w:noWrap w:val="0"/>
            <w:vAlign w:val="center"/>
          </w:tcPr>
          <w:p>
            <w:pPr>
              <w:pStyle w:val="14"/>
              <w:tabs>
                <w:tab w:val="clear" w:pos="1697"/>
              </w:tabs>
              <w:spacing w:after="0" w:afterLines="0" w:line="440" w:lineRule="exact"/>
              <w:ind w:left="0" w:firstLine="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主要技术参数响应性</w:t>
            </w:r>
          </w:p>
        </w:tc>
        <w:tc>
          <w:tcPr>
            <w:tcW w:w="6159" w:type="dxa"/>
            <w:noWrap w:val="0"/>
            <w:vAlign w:val="center"/>
          </w:tcPr>
          <w:p>
            <w:pPr>
              <w:pStyle w:val="14"/>
              <w:tabs>
                <w:tab w:val="clear" w:pos="1697"/>
              </w:tabs>
              <w:spacing w:after="0"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1.根据产品技术</w:t>
            </w:r>
            <w:r>
              <w:rPr>
                <w:rFonts w:hint="eastAsia" w:ascii="仿宋" w:hAnsi="仿宋" w:eastAsia="仿宋" w:cs="仿宋"/>
                <w:color w:val="auto"/>
                <w:szCs w:val="24"/>
                <w:highlight w:val="none"/>
                <w:lang w:val="en-US" w:eastAsia="zh-CN"/>
              </w:rPr>
              <w:t>参数</w:t>
            </w:r>
            <w:r>
              <w:rPr>
                <w:rFonts w:hint="eastAsia" w:ascii="仿宋" w:hAnsi="仿宋" w:eastAsia="仿宋" w:cs="仿宋"/>
                <w:color w:val="auto"/>
                <w:szCs w:val="24"/>
                <w:highlight w:val="none"/>
              </w:rPr>
              <w:t>要求，技术</w:t>
            </w:r>
            <w:r>
              <w:rPr>
                <w:rFonts w:hint="eastAsia" w:ascii="仿宋" w:hAnsi="仿宋" w:eastAsia="仿宋" w:cs="仿宋"/>
                <w:color w:val="auto"/>
                <w:szCs w:val="24"/>
                <w:highlight w:val="none"/>
                <w:lang w:val="en-US" w:eastAsia="zh-CN"/>
              </w:rPr>
              <w:t>参数</w:t>
            </w:r>
            <w:r>
              <w:rPr>
                <w:rFonts w:hint="eastAsia" w:ascii="仿宋" w:hAnsi="仿宋" w:eastAsia="仿宋" w:cs="仿宋"/>
                <w:color w:val="auto"/>
                <w:szCs w:val="24"/>
                <w:highlight w:val="none"/>
              </w:rPr>
              <w:t>要求满足</w:t>
            </w:r>
            <w:r>
              <w:rPr>
                <w:rFonts w:hint="eastAsia" w:ascii="仿宋" w:hAnsi="仿宋" w:eastAsia="仿宋" w:cs="仿宋"/>
                <w:color w:val="auto"/>
                <w:szCs w:val="24"/>
                <w:highlight w:val="none"/>
                <w:lang w:val="en-US" w:eastAsia="zh-CN"/>
              </w:rPr>
              <w:t>招标</w:t>
            </w:r>
            <w:r>
              <w:rPr>
                <w:rFonts w:hint="eastAsia" w:ascii="仿宋" w:hAnsi="仿宋" w:eastAsia="仿宋" w:cs="仿宋"/>
                <w:color w:val="auto"/>
                <w:szCs w:val="24"/>
                <w:highlight w:val="none"/>
              </w:rPr>
              <w:t>要求得满分。</w:t>
            </w:r>
          </w:p>
          <w:p>
            <w:pPr>
              <w:pStyle w:val="14"/>
              <w:tabs>
                <w:tab w:val="clear" w:pos="1697"/>
              </w:tabs>
              <w:spacing w:after="0"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2.打“▲”号的指标为主要功能、配置，每有一项负偏离的扣5分；一般指标每有一项</w:t>
            </w:r>
            <w:r>
              <w:rPr>
                <w:rFonts w:hint="eastAsia" w:ascii="仿宋" w:hAnsi="仿宋" w:eastAsia="仿宋" w:cs="仿宋"/>
                <w:color w:val="auto"/>
                <w:szCs w:val="24"/>
                <w:highlight w:val="none"/>
                <w:lang w:val="en-US" w:eastAsia="zh-CN"/>
              </w:rPr>
              <w:t>负</w:t>
            </w:r>
            <w:r>
              <w:rPr>
                <w:rFonts w:hint="eastAsia" w:ascii="仿宋" w:hAnsi="仿宋" w:eastAsia="仿宋" w:cs="仿宋"/>
                <w:color w:val="auto"/>
                <w:szCs w:val="24"/>
                <w:highlight w:val="none"/>
              </w:rPr>
              <w:t>偏离的扣2分，扣完为止。</w:t>
            </w:r>
          </w:p>
        </w:tc>
        <w:tc>
          <w:tcPr>
            <w:tcW w:w="914" w:type="dxa"/>
            <w:noWrap w:val="0"/>
            <w:vAlign w:val="center"/>
          </w:tcPr>
          <w:p>
            <w:pPr>
              <w:pStyle w:val="14"/>
              <w:tabs>
                <w:tab w:val="clear" w:pos="1697"/>
              </w:tabs>
              <w:spacing w:after="0" w:afterLines="0" w:line="440" w:lineRule="exact"/>
              <w:ind w:left="0" w:firstLine="0"/>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701" w:type="dxa"/>
            <w:noWrap w:val="0"/>
            <w:vAlign w:val="center"/>
          </w:tcPr>
          <w:p>
            <w:pPr>
              <w:pStyle w:val="14"/>
              <w:tabs>
                <w:tab w:val="clear" w:pos="1697"/>
              </w:tabs>
              <w:spacing w:after="0" w:afterLines="0" w:line="440" w:lineRule="exact"/>
              <w:ind w:left="420" w:hangingChars="175"/>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公司实力</w:t>
            </w:r>
          </w:p>
        </w:tc>
        <w:tc>
          <w:tcPr>
            <w:tcW w:w="6159" w:type="dxa"/>
            <w:noWrap w:val="0"/>
            <w:vAlign w:val="center"/>
          </w:tcPr>
          <w:p>
            <w:pPr>
              <w:pStyle w:val="14"/>
              <w:tabs>
                <w:tab w:val="clear" w:pos="1697"/>
              </w:tabs>
              <w:spacing w:after="0"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根据投标单位供货能力等情况，由专家酌情打分</w:t>
            </w:r>
            <w:r>
              <w:rPr>
                <w:rFonts w:hint="eastAsia" w:ascii="仿宋" w:hAnsi="仿宋" w:eastAsia="仿宋" w:cs="仿宋"/>
                <w:color w:val="auto"/>
                <w:szCs w:val="24"/>
                <w:highlight w:val="none"/>
                <w:lang w:eastAsia="zh-CN"/>
              </w:rPr>
              <w:t>：</w:t>
            </w:r>
            <w:r>
              <w:rPr>
                <w:rFonts w:hint="eastAsia" w:ascii="仿宋" w:hAnsi="仿宋" w:eastAsia="仿宋" w:cs="仿宋"/>
                <w:color w:val="auto"/>
                <w:sz w:val="24"/>
                <w:szCs w:val="24"/>
                <w:highlight w:val="none"/>
              </w:rPr>
              <w:t>优于项目需求的得</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.1分，符合项目需求的得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.1分，部分符合项目需求的得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.0-0.1分，不符合不得分。</w:t>
            </w:r>
          </w:p>
        </w:tc>
        <w:tc>
          <w:tcPr>
            <w:tcW w:w="914" w:type="dxa"/>
            <w:noWrap w:val="0"/>
            <w:vAlign w:val="center"/>
          </w:tcPr>
          <w:p>
            <w:pPr>
              <w:pStyle w:val="14"/>
              <w:tabs>
                <w:tab w:val="clear" w:pos="1697"/>
              </w:tabs>
              <w:spacing w:after="0" w:afterLines="0" w:line="440" w:lineRule="exact"/>
              <w:ind w:left="0" w:firstLine="0"/>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701" w:type="dxa"/>
            <w:noWrap w:val="0"/>
            <w:vAlign w:val="center"/>
          </w:tcPr>
          <w:p>
            <w:pPr>
              <w:spacing w:line="400" w:lineRule="exact"/>
              <w:jc w:val="center"/>
              <w:rPr>
                <w:rFonts w:hint="eastAsia" w:ascii="仿宋" w:hAnsi="仿宋" w:eastAsia="仿宋" w:cs="仿宋"/>
                <w:color w:val="auto"/>
                <w:szCs w:val="24"/>
                <w:highlight w:val="none"/>
              </w:rPr>
            </w:pPr>
            <w:r>
              <w:rPr>
                <w:rFonts w:hint="eastAsia" w:ascii="仿宋" w:hAnsi="仿宋" w:eastAsia="仿宋" w:cs="仿宋"/>
                <w:color w:val="auto"/>
                <w:sz w:val="24"/>
                <w:szCs w:val="24"/>
                <w:highlight w:val="none"/>
                <w:lang w:eastAsia="zh-CN"/>
              </w:rPr>
              <w:t>供应能力</w:t>
            </w:r>
          </w:p>
        </w:tc>
        <w:tc>
          <w:tcPr>
            <w:tcW w:w="6159" w:type="dxa"/>
            <w:noWrap w:val="0"/>
            <w:vAlign w:val="center"/>
          </w:tcPr>
          <w:p>
            <w:pPr>
              <w:spacing w:line="400" w:lineRule="exact"/>
              <w:ind w:right="71" w:rightChars="34"/>
              <w:rPr>
                <w:rFonts w:hint="eastAsia" w:ascii="仿宋" w:hAnsi="仿宋" w:eastAsia="仿宋" w:cs="仿宋"/>
                <w:color w:val="auto"/>
                <w:szCs w:val="24"/>
                <w:highlight w:val="none"/>
              </w:rPr>
            </w:pPr>
            <w:r>
              <w:rPr>
                <w:rFonts w:hint="eastAsia" w:ascii="仿宋" w:hAnsi="仿宋" w:eastAsia="仿宋" w:cs="仿宋"/>
                <w:color w:val="auto"/>
                <w:kern w:val="0"/>
                <w:sz w:val="24"/>
                <w:szCs w:val="24"/>
                <w:highlight w:val="none"/>
                <w:lang w:val="en-US" w:eastAsia="zh-CN" w:bidi="ar-SA"/>
              </w:rPr>
              <w:t>根据投标单位针对所投项目类别拟供应产品提供的目录清单覆盖情况、图文介绍等综合评价，优于项目需求的得8.0-6.1分，符合项目需求的得6.0-3.1分，部分符合项目需求的得3.0-0.1分，不符合或不提供不得分。</w:t>
            </w:r>
          </w:p>
        </w:tc>
        <w:tc>
          <w:tcPr>
            <w:tcW w:w="914" w:type="dxa"/>
            <w:noWrap w:val="0"/>
            <w:vAlign w:val="center"/>
          </w:tcPr>
          <w:p>
            <w:pPr>
              <w:spacing w:line="400" w:lineRule="exact"/>
              <w:ind w:left="-115" w:leftChars="-55" w:right="-115" w:rightChars="-55"/>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701" w:type="dxa"/>
            <w:noWrap w:val="0"/>
            <w:vAlign w:val="center"/>
          </w:tcPr>
          <w:p>
            <w:pPr>
              <w:spacing w:line="400" w:lineRule="exact"/>
              <w:jc w:val="center"/>
              <w:rPr>
                <w:rFonts w:hint="eastAsia" w:ascii="仿宋" w:hAnsi="仿宋" w:eastAsia="仿宋" w:cs="仿宋"/>
                <w:color w:val="auto"/>
                <w:szCs w:val="24"/>
                <w:highlight w:val="none"/>
              </w:rPr>
            </w:pPr>
            <w:r>
              <w:rPr>
                <w:rFonts w:hint="eastAsia" w:ascii="仿宋" w:hAnsi="仿宋" w:eastAsia="仿宋" w:cs="仿宋"/>
                <w:color w:val="auto"/>
                <w:sz w:val="24"/>
                <w:szCs w:val="24"/>
                <w:highlight w:val="none"/>
              </w:rPr>
              <w:t>供货时间</w:t>
            </w:r>
          </w:p>
        </w:tc>
        <w:tc>
          <w:tcPr>
            <w:tcW w:w="6159" w:type="dxa"/>
            <w:noWrap w:val="0"/>
            <w:vAlign w:val="center"/>
          </w:tcPr>
          <w:p>
            <w:pPr>
              <w:numPr>
                <w:ilvl w:val="0"/>
                <w:numId w:val="1"/>
              </w:numPr>
              <w:spacing w:line="400" w:lineRule="exact"/>
              <w:ind w:left="0" w:leftChars="0" w:right="71" w:rightChars="34"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根据投标单位承诺供货时间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要求承诺：1、物资供货时间</w:t>
            </w:r>
            <w:r>
              <w:rPr>
                <w:rFonts w:hint="eastAsia" w:ascii="仿宋" w:hAnsi="仿宋" w:eastAsia="仿宋" w:cs="仿宋"/>
                <w:color w:val="auto"/>
                <w:kern w:val="0"/>
                <w:sz w:val="24"/>
                <w:szCs w:val="24"/>
                <w:highlight w:val="none"/>
              </w:rPr>
              <w:t>要求下单后</w:t>
            </w:r>
            <w:r>
              <w:rPr>
                <w:rFonts w:hint="eastAsia" w:ascii="仿宋" w:hAnsi="仿宋" w:eastAsia="仿宋" w:cs="仿宋"/>
                <w:color w:val="auto"/>
                <w:kern w:val="0"/>
                <w:sz w:val="24"/>
                <w:szCs w:val="24"/>
                <w:highlight w:val="none"/>
                <w:lang w:val="en-US" w:eastAsia="zh-CN"/>
              </w:rPr>
              <w:t>小于等于48小时</w:t>
            </w:r>
            <w:r>
              <w:rPr>
                <w:rFonts w:hint="eastAsia" w:ascii="仿宋" w:hAnsi="仿宋" w:eastAsia="仿宋" w:cs="仿宋"/>
                <w:color w:val="auto"/>
                <w:kern w:val="0"/>
                <w:sz w:val="24"/>
                <w:szCs w:val="24"/>
                <w:highlight w:val="none"/>
              </w:rPr>
              <w:t>内送货到医院</w:t>
            </w:r>
            <w:r>
              <w:rPr>
                <w:rFonts w:hint="eastAsia" w:ascii="仿宋" w:hAnsi="仿宋" w:eastAsia="仿宋" w:cs="仿宋"/>
                <w:color w:val="auto"/>
                <w:kern w:val="0"/>
                <w:sz w:val="24"/>
                <w:szCs w:val="24"/>
                <w:highlight w:val="none"/>
                <w:lang w:val="en-US" w:eastAsia="zh-CN"/>
              </w:rPr>
              <w:t>得2分</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szCs w:val="24"/>
                <w:highlight w:val="none"/>
                <w:lang w:val="en-US" w:eastAsia="zh-CN"/>
              </w:rPr>
              <w:t>（需提供承诺函）</w:t>
            </w:r>
          </w:p>
          <w:p>
            <w:pPr>
              <w:numPr>
                <w:ilvl w:val="0"/>
                <w:numId w:val="1"/>
              </w:numPr>
              <w:spacing w:line="400" w:lineRule="exact"/>
              <w:ind w:left="0" w:leftChars="0" w:right="71" w:rightChars="34" w:firstLine="0" w:firstLineChars="0"/>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招标方紧急用物资供货时间</w:t>
            </w:r>
            <w:r>
              <w:rPr>
                <w:rFonts w:hint="eastAsia" w:ascii="仿宋" w:hAnsi="仿宋" w:eastAsia="仿宋" w:cs="仿宋"/>
                <w:color w:val="auto"/>
                <w:kern w:val="0"/>
                <w:sz w:val="24"/>
                <w:szCs w:val="24"/>
                <w:highlight w:val="none"/>
              </w:rPr>
              <w:t>要求下单后</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小时</w:t>
            </w:r>
            <w:r>
              <w:rPr>
                <w:rFonts w:hint="eastAsia" w:ascii="仿宋" w:hAnsi="仿宋" w:eastAsia="仿宋" w:cs="仿宋"/>
                <w:color w:val="auto"/>
                <w:kern w:val="0"/>
                <w:sz w:val="24"/>
                <w:szCs w:val="24"/>
                <w:highlight w:val="none"/>
                <w:lang w:val="en-US" w:eastAsia="zh-CN"/>
              </w:rPr>
              <w:t>内</w:t>
            </w:r>
            <w:r>
              <w:rPr>
                <w:rFonts w:hint="eastAsia" w:ascii="仿宋" w:hAnsi="仿宋" w:eastAsia="仿宋" w:cs="仿宋"/>
                <w:color w:val="auto"/>
                <w:kern w:val="0"/>
                <w:sz w:val="24"/>
                <w:szCs w:val="24"/>
                <w:highlight w:val="none"/>
              </w:rPr>
              <w:t>送货到医院指定地点</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szCs w:val="24"/>
                <w:highlight w:val="none"/>
                <w:lang w:val="en-US" w:eastAsia="zh-CN"/>
              </w:rPr>
              <w:t>投标人书面承诺满足送货要求的得2分。（需提供承诺函）</w:t>
            </w:r>
          </w:p>
          <w:p>
            <w:pPr>
              <w:pStyle w:val="963"/>
              <w:rPr>
                <w:rFonts w:hint="eastAsia" w:ascii="仿宋" w:hAnsi="仿宋" w:eastAsia="仿宋" w:cs="仿宋"/>
                <w:color w:val="auto"/>
                <w:szCs w:val="24"/>
                <w:highlight w:val="none"/>
              </w:rPr>
            </w:pPr>
            <w:r>
              <w:rPr>
                <w:rFonts w:hint="eastAsia" w:ascii="仿宋" w:hAnsi="仿宋" w:eastAsia="仿宋" w:cs="仿宋"/>
                <w:color w:val="auto"/>
                <w:kern w:val="2"/>
                <w:sz w:val="24"/>
                <w:szCs w:val="24"/>
                <w:highlight w:val="none"/>
                <w:lang w:val="en-US" w:eastAsia="zh-CN" w:bidi="ar-SA"/>
              </w:rPr>
              <w:t>3、投标人承诺节假日照常送货的得2分</w:t>
            </w:r>
            <w:r>
              <w:rPr>
                <w:rFonts w:hint="eastAsia" w:ascii="仿宋" w:hAnsi="仿宋" w:eastAsia="仿宋" w:cs="仿宋"/>
                <w:color w:val="auto"/>
                <w:highlight w:val="none"/>
                <w:lang w:val="en-US" w:eastAsia="zh-CN"/>
              </w:rPr>
              <w:t>。</w:t>
            </w:r>
            <w:r>
              <w:rPr>
                <w:rFonts w:hint="eastAsia" w:ascii="仿宋" w:hAnsi="仿宋" w:eastAsia="仿宋" w:cs="仿宋"/>
                <w:b/>
                <w:bCs/>
                <w:color w:val="auto"/>
                <w:sz w:val="24"/>
                <w:szCs w:val="24"/>
                <w:highlight w:val="none"/>
                <w:lang w:val="en-US" w:eastAsia="zh-CN"/>
              </w:rPr>
              <w:t>（需提供承诺函）</w:t>
            </w:r>
          </w:p>
        </w:tc>
        <w:tc>
          <w:tcPr>
            <w:tcW w:w="914" w:type="dxa"/>
            <w:noWrap w:val="0"/>
            <w:vAlign w:val="center"/>
          </w:tcPr>
          <w:p>
            <w:pPr>
              <w:spacing w:line="400" w:lineRule="exact"/>
              <w:ind w:left="-115" w:leftChars="-55" w:right="-115" w:rightChars="-55"/>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701" w:type="dxa"/>
            <w:noWrap w:val="0"/>
            <w:vAlign w:val="center"/>
          </w:tcPr>
          <w:p>
            <w:pPr>
              <w:pStyle w:val="14"/>
              <w:tabs>
                <w:tab w:val="clear" w:pos="1697"/>
              </w:tabs>
              <w:spacing w:after="0" w:afterLines="0" w:line="440" w:lineRule="exact"/>
              <w:ind w:left="420" w:hangingChars="175"/>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样品</w:t>
            </w:r>
          </w:p>
        </w:tc>
        <w:tc>
          <w:tcPr>
            <w:tcW w:w="6159" w:type="dxa"/>
            <w:noWrap w:val="0"/>
            <w:vAlign w:val="center"/>
          </w:tcPr>
          <w:p>
            <w:pPr>
              <w:spacing w:line="400" w:lineRule="exact"/>
              <w:rPr>
                <w:rFonts w:hint="eastAsia" w:ascii="仿宋" w:hAnsi="仿宋" w:eastAsia="仿宋" w:cs="仿宋"/>
                <w:color w:val="auto"/>
                <w:szCs w:val="24"/>
                <w:highlight w:val="none"/>
              </w:rPr>
            </w:pPr>
            <w:r>
              <w:rPr>
                <w:rFonts w:hint="eastAsia" w:ascii="仿宋" w:hAnsi="仿宋" w:eastAsia="仿宋" w:cs="仿宋"/>
                <w:color w:val="auto"/>
                <w:kern w:val="0"/>
                <w:sz w:val="24"/>
                <w:szCs w:val="24"/>
                <w:highlight w:val="none"/>
                <w:lang w:val="en-US" w:eastAsia="zh-CN" w:bidi="ar-SA"/>
              </w:rPr>
              <w:t>根据产品品牌、组合品种及数量、包装、质量等情况进行评价：每个样品优得2分，良得1分，差不得分，小计2分，共10分（需提供器械消毒盒、三用枪喷嘴、手机清洗润滑油、一次性塑料牙托、器械管理盒，所有样品须各提供一份并贴标签，注明“投标单位+物品名称”。未带样品者，此项不得分。）</w:t>
            </w:r>
          </w:p>
        </w:tc>
        <w:tc>
          <w:tcPr>
            <w:tcW w:w="914" w:type="dxa"/>
            <w:noWrap w:val="0"/>
            <w:vAlign w:val="center"/>
          </w:tcPr>
          <w:p>
            <w:pPr>
              <w:pStyle w:val="14"/>
              <w:tabs>
                <w:tab w:val="clear" w:pos="1697"/>
              </w:tabs>
              <w:spacing w:after="0" w:afterLines="0" w:line="440" w:lineRule="exact"/>
              <w:ind w:left="420" w:hangingChars="175"/>
              <w:jc w:val="center"/>
              <w:rPr>
                <w:rFonts w:hint="eastAsia" w:ascii="仿宋" w:hAnsi="仿宋" w:eastAsia="仿宋" w:cs="仿宋"/>
                <w:color w:val="auto"/>
                <w:szCs w:val="24"/>
                <w:highlight w:val="none"/>
                <w:lang w:val="en-US"/>
              </w:rPr>
            </w:pPr>
            <w:r>
              <w:rPr>
                <w:rFonts w:hint="eastAsia" w:ascii="仿宋" w:hAnsi="仿宋" w:eastAsia="仿宋" w:cs="仿宋"/>
                <w:color w:val="auto"/>
                <w:szCs w:val="24"/>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701" w:type="dxa"/>
            <w:noWrap w:val="0"/>
            <w:vAlign w:val="center"/>
          </w:tcPr>
          <w:p>
            <w:pPr>
              <w:pStyle w:val="14"/>
              <w:tabs>
                <w:tab w:val="clear" w:pos="1697"/>
              </w:tabs>
              <w:spacing w:after="0" w:afterLines="0" w:line="440" w:lineRule="exact"/>
              <w:ind w:left="420" w:hangingChars="175"/>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售后服务</w:t>
            </w:r>
          </w:p>
        </w:tc>
        <w:tc>
          <w:tcPr>
            <w:tcW w:w="6159" w:type="dxa"/>
            <w:noWrap w:val="0"/>
            <w:vAlign w:val="center"/>
          </w:tcPr>
          <w:p>
            <w:pPr>
              <w:pStyle w:val="14"/>
              <w:tabs>
                <w:tab w:val="clear" w:pos="1697"/>
              </w:tabs>
              <w:spacing w:after="0"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根据投标单位质量保证和售后服务情况，由专家酌情打分</w:t>
            </w:r>
            <w:r>
              <w:rPr>
                <w:rFonts w:hint="eastAsia" w:ascii="仿宋" w:hAnsi="仿宋" w:eastAsia="仿宋" w:cs="仿宋"/>
                <w:color w:val="auto"/>
                <w:szCs w:val="24"/>
                <w:highlight w:val="none"/>
                <w:lang w:eastAsia="zh-CN"/>
              </w:rPr>
              <w:t>：</w:t>
            </w:r>
            <w:r>
              <w:rPr>
                <w:rFonts w:hint="eastAsia" w:ascii="仿宋" w:hAnsi="仿宋" w:eastAsia="仿宋" w:cs="仿宋"/>
                <w:color w:val="auto"/>
                <w:sz w:val="24"/>
                <w:szCs w:val="24"/>
                <w:highlight w:val="none"/>
              </w:rPr>
              <w:t>优于项目需求的得</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.1分，符合项目需求的得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.1分，部分符合项目需求的得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.0-0.1分，不符合或不提供不得分。</w:t>
            </w:r>
          </w:p>
        </w:tc>
        <w:tc>
          <w:tcPr>
            <w:tcW w:w="914" w:type="dxa"/>
            <w:noWrap w:val="0"/>
            <w:vAlign w:val="center"/>
          </w:tcPr>
          <w:p>
            <w:pPr>
              <w:pStyle w:val="14"/>
              <w:tabs>
                <w:tab w:val="clear" w:pos="1697"/>
              </w:tabs>
              <w:spacing w:after="0" w:afterLines="0" w:line="440" w:lineRule="exact"/>
              <w:ind w:left="0" w:firstLine="0"/>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701" w:type="dxa"/>
            <w:noWrap w:val="0"/>
            <w:vAlign w:val="center"/>
          </w:tcPr>
          <w:p>
            <w:pPr>
              <w:pStyle w:val="14"/>
              <w:tabs>
                <w:tab w:val="clear" w:pos="1697"/>
              </w:tabs>
              <w:spacing w:after="0" w:afterLines="0" w:line="440" w:lineRule="exact"/>
              <w:ind w:left="0" w:firstLine="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投标人业绩</w:t>
            </w:r>
          </w:p>
        </w:tc>
        <w:tc>
          <w:tcPr>
            <w:tcW w:w="6159" w:type="dxa"/>
            <w:noWrap w:val="0"/>
            <w:vAlign w:val="center"/>
          </w:tcPr>
          <w:p>
            <w:pPr>
              <w:pStyle w:val="14"/>
              <w:tabs>
                <w:tab w:val="clear" w:pos="1697"/>
              </w:tabs>
              <w:spacing w:after="0"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20</w:t>
            </w:r>
            <w:r>
              <w:rPr>
                <w:rFonts w:hint="eastAsia" w:ascii="仿宋" w:hAnsi="仿宋" w:eastAsia="仿宋" w:cs="仿宋"/>
                <w:color w:val="auto"/>
                <w:szCs w:val="24"/>
                <w:highlight w:val="none"/>
                <w:lang w:val="en-US" w:eastAsia="zh-CN"/>
              </w:rPr>
              <w:t>20</w:t>
            </w:r>
            <w:r>
              <w:rPr>
                <w:rFonts w:hint="eastAsia" w:ascii="仿宋" w:hAnsi="仿宋" w:eastAsia="仿宋" w:cs="仿宋"/>
                <w:color w:val="auto"/>
                <w:szCs w:val="24"/>
                <w:highlight w:val="none"/>
              </w:rPr>
              <w:t>年1月至今案例合同</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根据投标人所提供的同类产品</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业绩合同中需包含本项目招标所列清单中占比50%以上的产品</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成功案例</w:t>
            </w:r>
            <w:r>
              <w:rPr>
                <w:rFonts w:hint="eastAsia" w:ascii="仿宋" w:hAnsi="仿宋" w:eastAsia="仿宋" w:cs="仿宋"/>
                <w:color w:val="auto"/>
                <w:szCs w:val="24"/>
                <w:highlight w:val="none"/>
                <w:lang w:val="en-US" w:eastAsia="zh-CN"/>
              </w:rPr>
              <w:t>采购</w:t>
            </w:r>
            <w:r>
              <w:rPr>
                <w:rFonts w:hint="eastAsia" w:ascii="仿宋" w:hAnsi="仿宋" w:eastAsia="仿宋" w:cs="仿宋"/>
                <w:color w:val="auto"/>
                <w:szCs w:val="24"/>
                <w:highlight w:val="none"/>
              </w:rPr>
              <w:t>合同，经评标小组认定为符合要求：每</w:t>
            </w:r>
            <w:r>
              <w:rPr>
                <w:rFonts w:hint="eastAsia" w:ascii="仿宋" w:hAnsi="仿宋" w:eastAsia="仿宋" w:cs="仿宋"/>
                <w:color w:val="auto"/>
                <w:szCs w:val="24"/>
                <w:highlight w:val="none"/>
                <w:lang w:val="en-US" w:eastAsia="zh-CN"/>
              </w:rPr>
              <w:t>提供</w:t>
            </w:r>
            <w:r>
              <w:rPr>
                <w:rFonts w:hint="eastAsia" w:ascii="仿宋" w:hAnsi="仿宋" w:eastAsia="仿宋" w:cs="仿宋"/>
                <w:color w:val="auto"/>
                <w:szCs w:val="24"/>
                <w:highlight w:val="none"/>
              </w:rPr>
              <w:t>1份得</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分，最高得</w:t>
            </w: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分。</w:t>
            </w:r>
          </w:p>
        </w:tc>
        <w:tc>
          <w:tcPr>
            <w:tcW w:w="914" w:type="dxa"/>
            <w:noWrap w:val="0"/>
            <w:vAlign w:val="center"/>
          </w:tcPr>
          <w:p>
            <w:pPr>
              <w:pStyle w:val="14"/>
              <w:tabs>
                <w:tab w:val="clear" w:pos="1697"/>
              </w:tabs>
              <w:spacing w:after="0" w:afterLines="0" w:line="440" w:lineRule="exact"/>
              <w:ind w:left="0" w:firstLine="0"/>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w:t>
            </w:r>
          </w:p>
        </w:tc>
      </w:tr>
    </w:tbl>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40 </w:t>
      </w:r>
      <w:r>
        <w:rPr>
          <w:rFonts w:hint="eastAsia" w:ascii="仿宋" w:hAnsi="仿宋" w:eastAsia="仿宋" w:cs="仿宋"/>
          <w:b/>
          <w:bCs/>
          <w:iCs/>
          <w:color w:val="auto"/>
          <w:sz w:val="24"/>
          <w:highlight w:val="none"/>
        </w:rPr>
        <w:t>分）</w:t>
      </w:r>
    </w:p>
    <w:p>
      <w:pPr>
        <w:pStyle w:val="14"/>
        <w:tabs>
          <w:tab w:val="clear" w:pos="1697"/>
        </w:tabs>
        <w:spacing w:after="0"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2.2.1评标基准价：即满足招标文件要求且投标下浮率最高的投标报价为评标基准价，其价格分为满分。</w:t>
      </w:r>
    </w:p>
    <w:p>
      <w:pPr>
        <w:pStyle w:val="14"/>
        <w:tabs>
          <w:tab w:val="clear" w:pos="1697"/>
        </w:tabs>
        <w:spacing w:after="0"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2.2.2其他投标人的价格分统一按照下列公式计算(保留小数2位)：</w:t>
      </w:r>
    </w:p>
    <w:p>
      <w:pPr>
        <w:pStyle w:val="14"/>
        <w:tabs>
          <w:tab w:val="clear" w:pos="1697"/>
        </w:tabs>
        <w:spacing w:after="0"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投标报价得分=(1-评标基准价）／（1-投标下浮率）×价格权值×100 </w:t>
      </w:r>
    </w:p>
    <w:p>
      <w:pPr>
        <w:pStyle w:val="14"/>
        <w:tabs>
          <w:tab w:val="clear" w:pos="1697"/>
        </w:tabs>
        <w:spacing w:after="0"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即：投标报价得分=(1-评标基准价）／（1-投标下浮率）×40</w:t>
      </w: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如投标人为</w:t>
      </w:r>
      <w:r>
        <w:rPr>
          <w:rFonts w:hint="eastAsia" w:ascii="仿宋" w:hAnsi="仿宋" w:eastAsia="仿宋" w:cs="仿宋"/>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bookmarkStart w:id="196" w:name="_GoBack"/>
      <w:bookmarkEnd w:id="196"/>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中小企业声明函</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rPr>
          <w:rFonts w:hint="eastAsia" w:ascii="仿宋" w:hAnsi="仿宋" w:eastAsia="仿宋" w:cs="仿宋"/>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残疾人福利性单位声明函（如果有）</w:t>
      </w:r>
    </w:p>
    <w:p>
      <w:pPr>
        <w:pStyle w:val="24"/>
        <w:widowControl/>
        <w:numPr>
          <w:ilvl w:val="0"/>
          <w:numId w:val="0"/>
        </w:numPr>
        <w:spacing w:line="360" w:lineRule="auto"/>
        <w:ind w:firstLine="120" w:firstLineChars="50"/>
        <w:jc w:val="left"/>
        <w:rPr>
          <w:rFonts w:hint="eastAsia" w:ascii="仿宋" w:hAnsi="仿宋" w:eastAsia="仿宋" w:cs="仿宋"/>
          <w:b/>
          <w:color w:val="auto"/>
          <w:kern w:val="0"/>
          <w:sz w:val="36"/>
          <w:szCs w:val="36"/>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hint="eastAsia" w:ascii="仿宋" w:hAnsi="仿宋" w:eastAsia="仿宋" w:cs="仿宋"/>
          <w:b/>
          <w:color w:val="auto"/>
          <w:kern w:val="0"/>
          <w:sz w:val="24"/>
          <w:highlight w:val="none"/>
        </w:rPr>
      </w:pPr>
    </w:p>
    <w:p>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8"/>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1.我方同意在投标人须知规定的开标日期起遵守本投标文件中的承诺且在投标有效期满之前均具有约束力。</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82"/>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color w:val="auto"/>
          <w:sz w:val="32"/>
          <w:szCs w:val="32"/>
          <w:highlight w:val="none"/>
          <w:lang w:eastAsia="zh-CN"/>
        </w:rPr>
      </w:pPr>
    </w:p>
    <w:p>
      <w:pPr>
        <w:spacing w:line="360" w:lineRule="auto"/>
        <w:jc w:val="center"/>
        <w:rPr>
          <w:rFonts w:hint="eastAsia" w:ascii="仿宋" w:hAnsi="仿宋" w:eastAsia="仿宋" w:cs="仿宋"/>
          <w:b/>
          <w:color w:val="auto"/>
          <w:sz w:val="32"/>
          <w:szCs w:val="32"/>
          <w:highlight w:val="none"/>
          <w:lang w:eastAsia="zh-CN"/>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auto"/>
          <w:sz w:val="24"/>
          <w:highlight w:val="none"/>
        </w:rPr>
      </w:pPr>
    </w:p>
    <w:p>
      <w:pPr>
        <w:autoSpaceDE w:val="0"/>
        <w:autoSpaceDN w:val="0"/>
        <w:spacing w:line="360" w:lineRule="auto"/>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9"/>
        <w:ind w:firstLine="0"/>
        <w:jc w:val="both"/>
        <w:rPr>
          <w:rFonts w:hint="eastAsia" w:ascii="仿宋" w:hAnsi="仿宋" w:eastAsia="仿宋" w:cs="仿宋"/>
          <w:color w:val="auto"/>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color w:val="auto"/>
          <w:kern w:val="0"/>
          <w:sz w:val="24"/>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color w:val="auto"/>
          <w:sz w:val="30"/>
          <w:szCs w:val="30"/>
          <w:highlight w:val="none"/>
          <w:lang w:eastAsia="zh-CN"/>
        </w:rPr>
      </w:pPr>
    </w:p>
    <w:p>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82"/>
        <w:rPr>
          <w:rFonts w:hint="eastAsia" w:ascii="仿宋" w:hAnsi="仿宋" w:eastAsia="仿宋" w:cs="仿宋"/>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2"/>
        <w:rPr>
          <w:rFonts w:hint="eastAsia" w:ascii="仿宋" w:hAnsi="仿宋" w:eastAsia="仿宋" w:cs="仿宋"/>
          <w:color w:val="auto"/>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hint="eastAsia" w:ascii="仿宋" w:hAnsi="仿宋" w:eastAsia="仿宋" w:cs="仿宋"/>
          <w:b/>
          <w:bCs/>
          <w:color w:val="auto"/>
          <w:sz w:val="32"/>
          <w:szCs w:val="32"/>
          <w:highlight w:val="none"/>
        </w:rPr>
      </w:pPr>
    </w:p>
    <w:p>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rPr>
          <w:rFonts w:hint="eastAsia" w:ascii="仿宋" w:hAnsi="仿宋" w:eastAsia="仿宋" w:cs="仿宋"/>
          <w:color w:val="auto"/>
          <w:sz w:val="18"/>
          <w:szCs w:val="18"/>
          <w:highlight w:val="none"/>
        </w:rPr>
      </w:pPr>
    </w:p>
    <w:p>
      <w:pPr>
        <w:pStyle w:val="82"/>
        <w:rPr>
          <w:rFonts w:hint="eastAsia" w:ascii="仿宋" w:hAnsi="仿宋" w:eastAsia="仿宋" w:cs="仿宋"/>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jc w:val="center"/>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3"/>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417"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p>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4"/>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4"/>
        <w:rPr>
          <w:rFonts w:hint="eastAsia" w:ascii="仿宋" w:hAnsi="仿宋" w:eastAsia="仿宋" w:cs="仿宋"/>
          <w:color w:val="auto"/>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87" w:name="_Hlk101131882"/>
      <w:r>
        <w:rPr>
          <w:rFonts w:hint="eastAsia" w:ascii="仿宋" w:hAnsi="仿宋" w:eastAsia="仿宋" w:cs="仿宋"/>
          <w:color w:val="auto"/>
          <w:kern w:val="0"/>
          <w:sz w:val="24"/>
          <w:highlight w:val="none"/>
          <w:u w:val="single"/>
        </w:rPr>
        <w:t>联合体成员X,……</w:t>
      </w:r>
      <w:bookmarkEnd w:id="187"/>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88"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88"/>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89"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89"/>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90" w:name="OLE_LINK13"/>
      <w:bookmarkStart w:id="191" w:name="OLE_LINK14"/>
      <w:r>
        <w:rPr>
          <w:rFonts w:hint="eastAsia" w:ascii="仿宋" w:hAnsi="仿宋" w:eastAsia="仿宋" w:cs="仿宋"/>
          <w:b/>
          <w:color w:val="auto"/>
          <w:spacing w:val="6"/>
          <w:sz w:val="32"/>
          <w:szCs w:val="32"/>
          <w:highlight w:val="none"/>
        </w:rPr>
        <w:t>残疾人福利性单位声明函</w:t>
      </w:r>
    </w:p>
    <w:bookmarkEnd w:id="190"/>
    <w:bookmarkEnd w:id="191"/>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4"/>
        <w:rPr>
          <w:rFonts w:hint="eastAsia" w:ascii="仿宋" w:hAnsi="仿宋" w:eastAsia="仿宋" w:cs="仿宋"/>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92" w:name="_Toc36110187"/>
    <w:bookmarkStart w:id="193" w:name="_Toc164085800"/>
    <w:bookmarkStart w:id="194" w:name="_Toc131845147"/>
    <w:bookmarkStart w:id="195" w:name="_Toc91899912"/>
    <w:r>
      <w:rPr>
        <w:rFonts w:hint="eastAsia" w:ascii="仿宋_GB2312" w:eastAsia="仿宋_GB2312"/>
        <w:kern w:val="0"/>
        <w:szCs w:val="21"/>
      </w:rPr>
      <w:t xml:space="preserve"> 页</w:t>
    </w:r>
    <w:bookmarkEnd w:id="192"/>
    <w:bookmarkEnd w:id="193"/>
    <w:bookmarkEnd w:id="194"/>
    <w:bookmarkEnd w:id="195"/>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ZJFY-20230031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ZJFY-20230031</w:t>
    </w:r>
    <w:r>
      <w:rPr>
        <w:rFonts w:hint="eastAsia" w:ascii="仿宋" w:hAnsi="仿宋" w:eastAsia="仿宋" w:cs="仿宋"/>
        <w:lang w:val="en-US" w:eastAsia="zh-CN"/>
      </w:rPr>
      <w:t xml:space="preserve"> </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5A8B1FB6"/>
    <w:multiLevelType w:val="singleLevel"/>
    <w:tmpl w:val="5A8B1FB6"/>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jNmViNjA5NWUxOGE3YjVmMjE3ZjJhYTM5NWVlMmIifQ=="/>
  </w:docVars>
  <w:rsids>
    <w:rsidRoot w:val="00172A27"/>
    <w:rsid w:val="00431B3B"/>
    <w:rsid w:val="04C924C0"/>
    <w:rsid w:val="0B1B59E3"/>
    <w:rsid w:val="0CAE4D39"/>
    <w:rsid w:val="0F096B8F"/>
    <w:rsid w:val="0F63063F"/>
    <w:rsid w:val="10B666D7"/>
    <w:rsid w:val="18E60774"/>
    <w:rsid w:val="1D2F1C3B"/>
    <w:rsid w:val="27D50B6B"/>
    <w:rsid w:val="2DBE3E50"/>
    <w:rsid w:val="30CD01D9"/>
    <w:rsid w:val="337D0F55"/>
    <w:rsid w:val="374D2342"/>
    <w:rsid w:val="427E60E8"/>
    <w:rsid w:val="43D52E1F"/>
    <w:rsid w:val="49547CAB"/>
    <w:rsid w:val="4ECC71BA"/>
    <w:rsid w:val="4F4B3D85"/>
    <w:rsid w:val="4F8E7012"/>
    <w:rsid w:val="57D64409"/>
    <w:rsid w:val="5BCD091E"/>
    <w:rsid w:val="5F561B6F"/>
    <w:rsid w:val="5F57E5CA"/>
    <w:rsid w:val="608B5AEC"/>
    <w:rsid w:val="669C35D3"/>
    <w:rsid w:val="69546167"/>
    <w:rsid w:val="6AFF4E74"/>
    <w:rsid w:val="6E093496"/>
    <w:rsid w:val="6FC37AD4"/>
    <w:rsid w:val="74A9072E"/>
    <w:rsid w:val="755E4A17"/>
    <w:rsid w:val="75FB438B"/>
    <w:rsid w:val="78AD1F79"/>
    <w:rsid w:val="7DFF3A1B"/>
    <w:rsid w:val="7FCE9F2A"/>
    <w:rsid w:val="7FCF3D6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customStyle="1" w:styleId="2">
    <w:name w:val="样式  + 首行缩进:  2 字符"/>
    <w:basedOn w:val="1"/>
    <w:qFormat/>
    <w:uiPriority w:val="0"/>
    <w:pPr>
      <w:adjustRightInd/>
      <w:spacing w:before="60" w:after="60" w:line="360" w:lineRule="auto"/>
      <w:ind w:firstLine="200" w:firstLineChars="200"/>
    </w:pPr>
    <w:rPr>
      <w:sz w:val="28"/>
      <w:szCs w:val="20"/>
    </w:rPr>
  </w:style>
  <w:style w:type="paragraph" w:styleId="6">
    <w:name w:val="Normal Indent"/>
    <w:basedOn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1"/>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4"/>
    <w:qFormat/>
    <w:uiPriority w:val="0"/>
    <w:pPr>
      <w:shd w:val="clear" w:color="auto" w:fill="000080"/>
    </w:pPr>
  </w:style>
  <w:style w:type="paragraph" w:styleId="20">
    <w:name w:val="annotation text"/>
    <w:basedOn w:val="1"/>
    <w:link w:val="345"/>
    <w:qFormat/>
    <w:uiPriority w:val="99"/>
    <w:pPr>
      <w:jc w:val="left"/>
    </w:pPr>
  </w:style>
  <w:style w:type="paragraph" w:styleId="21">
    <w:name w:val="Salutation"/>
    <w:basedOn w:val="1"/>
    <w:next w:val="1"/>
    <w:link w:val="299"/>
    <w:qFormat/>
    <w:uiPriority w:val="0"/>
    <w:rPr>
      <w:rFonts w:ascii="仿宋_GB2312" w:eastAsia="仿宋_GB2312"/>
      <w:sz w:val="28"/>
      <w:szCs w:val="20"/>
    </w:rPr>
  </w:style>
  <w:style w:type="paragraph" w:styleId="22">
    <w:name w:val="Body Text 3"/>
    <w:basedOn w:val="1"/>
    <w:link w:val="331"/>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1"/>
    <w:link w:val="431"/>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1"/>
    <w:link w:val="266"/>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3"/>
    <w:qFormat/>
    <w:uiPriority w:val="0"/>
    <w:pPr>
      <w:ind w:left="100" w:leftChars="2500"/>
    </w:pPr>
    <w:rPr>
      <w:rFonts w:ascii="宋体"/>
      <w:sz w:val="24"/>
      <w:szCs w:val="21"/>
      <w:lang w:val="zh-CN"/>
    </w:rPr>
  </w:style>
  <w:style w:type="paragraph" w:styleId="37">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90"/>
    <w:qFormat/>
    <w:uiPriority w:val="0"/>
    <w:rPr>
      <w:sz w:val="18"/>
      <w:szCs w:val="18"/>
    </w:rPr>
  </w:style>
  <w:style w:type="paragraph" w:styleId="40">
    <w:name w:val="footer"/>
    <w:basedOn w:val="1"/>
    <w:link w:val="384"/>
    <w:qFormat/>
    <w:uiPriority w:val="99"/>
    <w:pPr>
      <w:tabs>
        <w:tab w:val="center" w:pos="4153"/>
        <w:tab w:val="right" w:pos="8306"/>
      </w:tabs>
      <w:snapToGrid w:val="0"/>
      <w:jc w:val="left"/>
    </w:pPr>
    <w:rPr>
      <w:sz w:val="18"/>
      <w:szCs w:val="18"/>
    </w:rPr>
  </w:style>
  <w:style w:type="paragraph" w:styleId="41">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11"/>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3"/>
    <w:qFormat/>
    <w:uiPriority w:val="0"/>
    <w:pPr>
      <w:spacing w:after="120" w:line="480" w:lineRule="auto"/>
    </w:pPr>
  </w:style>
  <w:style w:type="paragraph" w:styleId="57">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8"/>
    <w:qFormat/>
    <w:uiPriority w:val="0"/>
    <w:rPr>
      <w:b/>
      <w:bCs/>
    </w:rPr>
  </w:style>
  <w:style w:type="paragraph" w:styleId="61">
    <w:name w:val="Body Text First Indent"/>
    <w:basedOn w:val="24"/>
    <w:next w:val="1"/>
    <w:link w:val="322"/>
    <w:qFormat/>
    <w:uiPriority w:val="0"/>
    <w:pPr>
      <w:ind w:firstLine="420"/>
    </w:pPr>
    <w:rPr>
      <w:rFonts w:hAnsi="Calibri" w:cs="Times New Roman"/>
      <w:snapToGrid/>
      <w:szCs w:val="20"/>
    </w:rPr>
  </w:style>
  <w:style w:type="paragraph" w:styleId="62">
    <w:name w:val="Body Text First Indent 2"/>
    <w:basedOn w:val="25"/>
    <w:link w:val="123"/>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列出段落1"/>
    <w:basedOn w:val="1"/>
    <w:next w:val="1"/>
    <w:qFormat/>
    <w:uiPriority w:val="0"/>
    <w:pPr>
      <w:adjustRightInd/>
      <w:spacing w:line="360" w:lineRule="auto"/>
      <w:ind w:firstLine="420" w:firstLineChars="200"/>
    </w:pPr>
    <w:rPr>
      <w:rFonts w:ascii="Calibri" w:hAnsi="Calibri"/>
      <w:sz w:val="24"/>
      <w:szCs w:val="22"/>
    </w:rPr>
  </w:style>
  <w:style w:type="paragraph" w:customStyle="1" w:styleId="81">
    <w:name w:val="首行缩进"/>
    <w:basedOn w:val="1"/>
    <w:qFormat/>
    <w:uiPriority w:val="0"/>
    <w:pPr>
      <w:spacing w:line="360" w:lineRule="auto"/>
      <w:ind w:firstLine="480" w:firstLineChars="200"/>
    </w:pPr>
    <w:rPr>
      <w:rFonts w:ascii="宋体"/>
      <w:sz w:val="24"/>
      <w:szCs w:val="20"/>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065a2bc-5607-4f88-bb9a-f4f6c7b4e0ea"/>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0"/>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29dca83e-cfa0-4d29-9006-28a1b752e563"/>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2"/>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7"/>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9"/>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4"/>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6"/>
    <w:qFormat/>
    <w:uiPriority w:val="0"/>
    <w:rPr>
      <w:rFonts w:ascii="宋体"/>
      <w:kern w:val="2"/>
      <w:sz w:val="24"/>
      <w:szCs w:val="21"/>
      <w:lang w:val="zh-CN"/>
    </w:rPr>
  </w:style>
  <w:style w:type="character" w:customStyle="1" w:styleId="184">
    <w:name w:val="标题 9 Char"/>
    <w:link w:val="12"/>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99"/>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39"/>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6"/>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19"/>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0"/>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7"/>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b6bb7154-40a1-4532-be09-cdbace51fda5"/>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7"/>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5"/>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3"/>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59"/>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8"/>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1"/>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7"/>
    <w:qFormat/>
    <w:uiPriority w:val="0"/>
    <w:rPr>
      <w:rFonts w:ascii="黑体" w:hAnsi="Courier New" w:eastAsia="黑体"/>
    </w:rPr>
  </w:style>
  <w:style w:type="character" w:customStyle="1" w:styleId="303">
    <w:name w:val="正文文本 2 Char1"/>
    <w:link w:val="56"/>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7"/>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10"/>
    <w:qFormat/>
    <w:uiPriority w:val="0"/>
    <w:rPr>
      <w:b/>
      <w:bCs/>
      <w:kern w:val="2"/>
      <w:sz w:val="24"/>
      <w:szCs w:val="24"/>
    </w:rPr>
  </w:style>
  <w:style w:type="character" w:customStyle="1" w:styleId="309">
    <w:name w:val="正文文本缩进 2 Char"/>
    <w:link w:val="37"/>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0"/>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1"/>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7"/>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2"/>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20"/>
    <w:qFormat/>
    <w:uiPriority w:val="99"/>
    <w:rPr>
      <w:kern w:val="2"/>
      <w:sz w:val="21"/>
      <w:szCs w:val="24"/>
    </w:rPr>
  </w:style>
  <w:style w:type="character" w:customStyle="1" w:styleId="346">
    <w:name w:val="签名 Char"/>
    <w:link w:val="42"/>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1"/>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3"/>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0"/>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1"/>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6"/>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1"/>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5"/>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8"/>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40"/>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5"/>
    <w:next w:val="640"/>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50"/>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2"/>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9"/>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9"/>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4"/>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3"/>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4"/>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9"/>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35</TotalTime>
  <ScaleCrop>false</ScaleCrop>
  <LinksUpToDate>false</LinksUpToDate>
  <CharactersWithSpaces>50218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2021-12-28T19:06:00Z</cp:lastPrinted>
  <dcterms:modified xsi:type="dcterms:W3CDTF">2023-12-26T01:53:15Z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