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绍兴市口腔医院关于办公用品及其他后勤物资采购项目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ZJFY-20240001</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月</w:t>
            </w:r>
          </w:p>
        </w:tc>
      </w:tr>
    </w:tbl>
    <w:p>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绍兴市口腔医院关于办公用品及其他后勤物资采购项目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 xml:space="preserve">  </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 xml:space="preserve">  </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14</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30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ZJFY-20240001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绍兴市口腔医院关于办公用品及其他后勤物资采购项目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900000.00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01标</w:t>
      </w:r>
      <w:r>
        <w:rPr>
          <w:rFonts w:hint="eastAsia" w:ascii="仿宋" w:hAnsi="仿宋" w:eastAsia="仿宋" w:cs="仿宋"/>
          <w:b w:val="0"/>
          <w:bCs/>
          <w:color w:val="auto"/>
          <w:sz w:val="24"/>
          <w:highlight w:val="none"/>
          <w:lang w:val="en-US" w:eastAsia="zh-CN"/>
        </w:rPr>
        <w:t>450000.00，02标450000.00，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sz w:val="24"/>
          <w:highlight w:val="none"/>
          <w:lang w:val="en-US" w:eastAsia="zh-CN"/>
        </w:rPr>
        <w:t>办公用品</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450000.00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sz w:val="24"/>
          <w:highlight w:val="none"/>
          <w:lang w:val="en-US" w:eastAsia="zh-CN"/>
        </w:rPr>
        <w:t>其他后勤物资</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450000.00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val="0"/>
          <w:bCs/>
          <w:color w:val="auto"/>
          <w:sz w:val="24"/>
          <w:highlight w:val="none"/>
        </w:rPr>
        <w:t>是。</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lang w:eastAsia="zh-CN"/>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rPr>
        <w:t>☐</w:t>
      </w:r>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rPr>
        <w:t>☐</w:t>
      </w:r>
      <w:r>
        <w:rPr>
          <w:rFonts w:hint="eastAsia" w:ascii="仿宋_GB2312" w:hAnsi="仿宋" w:eastAsia="仿宋_GB2312"/>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址：绍兴市延安东路399号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eastAsia="仿宋"/>
          <w:color w:val="auto"/>
          <w:sz w:val="24"/>
          <w:highlight w:val="none"/>
          <w:u w:val="none"/>
        </w:rPr>
        <w:t>何银俭</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eastAsia="仿宋"/>
          <w:color w:val="auto"/>
          <w:sz w:val="24"/>
          <w:highlight w:val="none"/>
          <w:u w:val="none"/>
        </w:rPr>
        <w:t>0575-88551138</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单浩涵</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质疑联系方式：0575-88551156</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28359097"/>
      <w:bookmarkStart w:id="11" w:name="_Toc35393638"/>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98"/>
      <w:bookmarkStart w:id="15" w:name="_Toc35393639"/>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62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投标人按照项目要求特许资格、资信证明文件（如果有）：</w:t>
            </w: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000000"/>
                <w:sz w:val="24"/>
                <w:szCs w:val="24"/>
                <w:highlight w:val="none"/>
                <w:lang w:val="en-US" w:eastAsia="zh-CN"/>
              </w:rPr>
              <w:t>01标</w:t>
            </w:r>
            <w:r>
              <w:rPr>
                <w:rFonts w:hint="eastAsia" w:ascii="仿宋" w:hAnsi="仿宋" w:eastAsia="仿宋" w:cs="仿宋"/>
                <w:color w:val="000000"/>
                <w:sz w:val="24"/>
                <w:szCs w:val="24"/>
                <w:highlight w:val="none"/>
              </w:rPr>
              <w:t>（签字笔</w:t>
            </w:r>
            <w:r>
              <w:rPr>
                <w:rFonts w:hint="eastAsia" w:ascii="仿宋" w:hAnsi="仿宋" w:eastAsia="仿宋" w:cs="仿宋"/>
                <w:color w:val="000000"/>
                <w:sz w:val="24"/>
                <w:szCs w:val="24"/>
                <w:highlight w:val="none"/>
                <w:lang w:val="en-US" w:eastAsia="zh-CN"/>
              </w:rPr>
              <w:t>、大卷纸、抽纸</w:t>
            </w:r>
            <w:r>
              <w:rPr>
                <w:rFonts w:hint="eastAsia" w:ascii="仿宋" w:hAnsi="仿宋" w:eastAsia="仿宋" w:cs="仿宋"/>
                <w:color w:val="auto"/>
                <w:sz w:val="24"/>
                <w:szCs w:val="24"/>
                <w:highlight w:val="none"/>
                <w:lang w:val="en-US" w:eastAsia="zh-CN"/>
              </w:rPr>
              <w:t>、牙膏、热敏收银纸</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02标（避污膜、洗手液、浴帽、丁腈手套、抹布）</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详见招标文件</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开标时间前</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绍兴市越城区稽山街道天姥路5号楼2幢2楼201室（浙江泛亚工程咨询有限公司）</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金颖</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15967581709</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演示。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讲解地点为</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2478"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5892"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FF0000"/>
                <w:kern w:val="0"/>
                <w:sz w:val="24"/>
                <w:highlight w:val="none"/>
                <w:lang w:val="en-US" w:eastAsia="zh-CN"/>
              </w:rPr>
              <w:t>01标</w:t>
            </w:r>
            <w:r>
              <w:rPr>
                <w:rFonts w:hint="eastAsia" w:ascii="仿宋" w:hAnsi="仿宋" w:eastAsia="仿宋" w:cs="仿宋"/>
                <w:color w:val="FF0000"/>
                <w:kern w:val="0"/>
                <w:sz w:val="24"/>
                <w:highlight w:val="none"/>
              </w:rPr>
              <w:t>大号擦手纸</w:t>
            </w:r>
            <w:r>
              <w:rPr>
                <w:rFonts w:hint="eastAsia" w:ascii="仿宋" w:hAnsi="仿宋" w:eastAsia="仿宋" w:cs="仿宋"/>
                <w:color w:val="FF0000"/>
                <w:kern w:val="0"/>
                <w:sz w:val="24"/>
                <w:highlight w:val="none"/>
                <w:lang w:eastAsia="zh-CN"/>
              </w:rPr>
              <w:t>、</w:t>
            </w:r>
            <w:r>
              <w:rPr>
                <w:rFonts w:hint="eastAsia" w:ascii="仿宋" w:hAnsi="仿宋" w:eastAsia="仿宋" w:cs="仿宋"/>
                <w:color w:val="FF0000"/>
                <w:kern w:val="0"/>
                <w:sz w:val="24"/>
                <w:highlight w:val="none"/>
                <w:lang w:val="en-US" w:eastAsia="zh-CN"/>
              </w:rPr>
              <w:t>02标丁腈手套</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478"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5892"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FF0000"/>
                <w:kern w:val="0"/>
                <w:sz w:val="24"/>
                <w:highlight w:val="none"/>
                <w:u w:val="single"/>
                <w:lang w:val="en-US" w:eastAsia="zh-CN"/>
              </w:rPr>
              <w:t>01标、02标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FF0000"/>
                <w:kern w:val="0"/>
                <w:sz w:val="24"/>
                <w:highlight w:val="none"/>
                <w:u w:val="single"/>
                <w:lang w:val="en-US" w:eastAsia="zh-CN"/>
              </w:rPr>
              <w:t>批发业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特别说明：</w:t>
            </w: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各标段</w:t>
            </w:r>
            <w:r>
              <w:rPr>
                <w:rFonts w:hint="eastAsia" w:ascii="仿宋" w:hAnsi="仿宋" w:eastAsia="仿宋" w:cs="仿宋"/>
                <w:color w:val="auto"/>
                <w:sz w:val="24"/>
                <w:highlight w:val="none"/>
              </w:rPr>
              <w:t>以中标通知书中确定的中标总金额作为服务费的计算基数，具体比例参照《国家计委关于印发&lt;招标代理服务收费管理暂行办法&gt;的通知》（计价格[2002]1980号）文件收费标准*56%收取；</w:t>
            </w:r>
            <w:r>
              <w:rPr>
                <w:rFonts w:hint="eastAsia" w:ascii="仿宋" w:hAnsi="仿宋" w:eastAsia="仿宋" w:cs="仿宋"/>
                <w:color w:val="auto"/>
                <w:sz w:val="24"/>
                <w:highlight w:val="none"/>
                <w:lang w:val="en-US" w:eastAsia="zh-CN"/>
              </w:rPr>
              <w:t>各标段</w:t>
            </w:r>
            <w:r>
              <w:rPr>
                <w:rFonts w:hint="eastAsia" w:ascii="仿宋" w:hAnsi="仿宋" w:eastAsia="仿宋" w:cs="仿宋"/>
                <w:color w:val="auto"/>
                <w:sz w:val="24"/>
                <w:highlight w:val="none"/>
              </w:rPr>
              <w:t>代理服务费不足2000元的，按2000元计算。最终代理服务费收费标准以招标代理与业主签订的合同为准。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公司名称：浙江泛亚工程咨询有限公司</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开户行：中国建设银行杭州西湖支行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账  号：33001619635050000853</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w:t>
      </w:r>
      <w:r>
        <w:rPr>
          <w:rFonts w:hint="eastAsia" w:ascii="仿宋" w:hAnsi="仿宋" w:eastAsia="仿宋" w:cs="仿宋"/>
          <w:color w:val="auto"/>
          <w:sz w:val="24"/>
          <w:highlight w:val="none"/>
        </w:rPr>
        <w:t>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3" w:firstLineChars="3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2中小企业声明函（如果有，格式见第六部分附件）；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3残疾人福利性单位声明函（如果有）。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仿宋" w:hAnsi="仿宋" w:eastAsia="仿宋" w:cs="仿宋"/>
          <w:b/>
          <w:bCs/>
          <w:color w:val="auto"/>
          <w:sz w:val="24"/>
          <w:highlight w:val="none"/>
          <w:lang w:val="en-US" w:eastAsia="zh-CN"/>
        </w:rPr>
      </w:pPr>
      <w:r>
        <w:rPr>
          <w:rFonts w:hint="default"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val="en-US" w:eastAsia="zh-CN"/>
        </w:rPr>
        <w:t>投标报价</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74714665"/>
      <w:bookmarkEnd w:id="21"/>
      <w:bookmarkStart w:id="22" w:name="_Hlt74707468"/>
      <w:bookmarkEnd w:id="22"/>
      <w:bookmarkStart w:id="23" w:name="_Hlt68072990"/>
      <w:bookmarkEnd w:id="23"/>
      <w:bookmarkStart w:id="24" w:name="_Hlt75236290"/>
      <w:bookmarkEnd w:id="24"/>
      <w:bookmarkStart w:id="25" w:name="_Hlt68057669"/>
      <w:bookmarkEnd w:id="25"/>
      <w:bookmarkStart w:id="26" w:name="_Hlt68073093"/>
      <w:bookmarkEnd w:id="26"/>
      <w:bookmarkStart w:id="27" w:name="_Hlt74729768"/>
      <w:bookmarkEnd w:id="27"/>
      <w:bookmarkStart w:id="28" w:name="_Hlt68072998"/>
      <w:bookmarkEnd w:id="28"/>
      <w:bookmarkStart w:id="29" w:name="_Hlt75236011"/>
      <w:bookmarkEnd w:id="29"/>
      <w:bookmarkStart w:id="30" w:name="_Hlt75236101"/>
      <w:bookmarkEnd w:id="30"/>
      <w:bookmarkStart w:id="31" w:name="_Hlt74730295"/>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eepNext w:val="0"/>
        <w:keepLines w:val="0"/>
        <w:pageBreakBefore w:val="0"/>
        <w:kinsoku/>
        <w:wordWrap/>
        <w:overflowPunct/>
        <w:topLinePunct w:val="0"/>
        <w:autoSpaceDE/>
        <w:autoSpaceDN/>
        <w:bidi w:val="0"/>
        <w:adjustRightInd w:val="0"/>
        <w:snapToGrid w:val="0"/>
        <w:spacing w:after="50" w:line="440" w:lineRule="exact"/>
        <w:textAlignment w:val="auto"/>
        <w:rPr>
          <w:rFonts w:hint="eastAsia" w:ascii="仿宋" w:hAnsi="仿宋" w:eastAsia="仿宋" w:cs="仿宋"/>
          <w:b/>
          <w:kern w:val="0"/>
          <w:sz w:val="24"/>
          <w:szCs w:val="24"/>
          <w:highlight w:val="none"/>
        </w:rPr>
      </w:pPr>
      <w:bookmarkStart w:id="36" w:name="第五部分"/>
      <w:bookmarkStart w:id="37" w:name="_Toc86217003"/>
      <w:r>
        <w:rPr>
          <w:rFonts w:hint="eastAsia" w:ascii="仿宋" w:hAnsi="仿宋" w:eastAsia="仿宋" w:cs="仿宋"/>
          <w:b/>
          <w:kern w:val="0"/>
          <w:sz w:val="24"/>
          <w:szCs w:val="24"/>
          <w:highlight w:val="none"/>
        </w:rPr>
        <w:t>1.物资（材料）要求</w:t>
      </w:r>
    </w:p>
    <w:p>
      <w:pPr>
        <w:keepNext w:val="0"/>
        <w:keepLines w:val="0"/>
        <w:pageBreakBefore w:val="0"/>
        <w:widowControl/>
        <w:kinsoku/>
        <w:wordWrap/>
        <w:overflowPunct/>
        <w:topLinePunct w:val="0"/>
        <w:autoSpaceDE/>
        <w:autoSpaceDN/>
        <w:bidi w:val="0"/>
        <w:spacing w:line="440" w:lineRule="exact"/>
        <w:ind w:firstLine="422" w:firstLineChars="176"/>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1.1投标人投标提供的物资必须是厂商原装的、全新的，型号、性能及指标符合国家及招标文件提出的有关技术、质量、安全标准。</w:t>
      </w:r>
    </w:p>
    <w:p>
      <w:pPr>
        <w:keepNext w:val="0"/>
        <w:keepLines w:val="0"/>
        <w:pageBreakBefore w:val="0"/>
        <w:widowControl/>
        <w:kinsoku/>
        <w:wordWrap/>
        <w:overflowPunct/>
        <w:topLinePunct w:val="0"/>
        <w:autoSpaceDE/>
        <w:autoSpaceDN/>
        <w:bidi w:val="0"/>
        <w:spacing w:line="440" w:lineRule="exact"/>
        <w:ind w:firstLine="422" w:firstLineChars="176"/>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1.2所有物资在开箱检验时必须完好，无破损，配置与装箱单相符。数量、质量及性能不低于本需求书中提出的要求。</w:t>
      </w:r>
    </w:p>
    <w:p>
      <w:pPr>
        <w:keepNext w:val="0"/>
        <w:keepLines w:val="0"/>
        <w:pageBreakBefore w:val="0"/>
        <w:widowControl/>
        <w:kinsoku/>
        <w:wordWrap/>
        <w:overflowPunct/>
        <w:topLinePunct w:val="0"/>
        <w:autoSpaceDE/>
        <w:autoSpaceDN/>
        <w:bidi w:val="0"/>
        <w:spacing w:line="440" w:lineRule="exact"/>
        <w:ind w:firstLine="422" w:firstLineChars="176"/>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1.3物资外观清洁，标记编号以及盘面显示等字体清晰，明确。铭牌、使用指示、警告指示应以中文或英文及易懂的通用符号来表示；应准确无误地表明物资型号、规格、制造厂及生产或出厂日期。</w:t>
      </w:r>
    </w:p>
    <w:p>
      <w:pPr>
        <w:keepNext w:val="0"/>
        <w:keepLines w:val="0"/>
        <w:pageBreakBefore w:val="0"/>
        <w:widowControl/>
        <w:kinsoku/>
        <w:wordWrap/>
        <w:overflowPunct/>
        <w:topLinePunct w:val="0"/>
        <w:autoSpaceDE/>
        <w:autoSpaceDN/>
        <w:bidi w:val="0"/>
        <w:spacing w:line="440" w:lineRule="exact"/>
        <w:ind w:firstLine="422" w:firstLineChars="176"/>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1.4对于影响物资正常工作的必要组成部分，无论在技术规范中指出与否，投标人都应提供并在投标文件中明确列出。</w:t>
      </w:r>
    </w:p>
    <w:p>
      <w:pPr>
        <w:keepNext w:val="0"/>
        <w:keepLines w:val="0"/>
        <w:pageBreakBefore w:val="0"/>
        <w:widowControl/>
        <w:kinsoku/>
        <w:wordWrap/>
        <w:overflowPunct/>
        <w:topLinePunct w:val="0"/>
        <w:autoSpaceDE/>
        <w:autoSpaceDN/>
        <w:bidi w:val="0"/>
        <w:spacing w:line="440" w:lineRule="exact"/>
        <w:ind w:firstLine="422" w:firstLineChars="176"/>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1.5所有货物提供出厂合格证等质量证明文件，国外生产的必须有合法的进货渠道证明，如海关报关单、原产地证明、商检证明等。</w:t>
      </w:r>
    </w:p>
    <w:p>
      <w:pPr>
        <w:keepNext w:val="0"/>
        <w:keepLines w:val="0"/>
        <w:pageBreakBefore w:val="0"/>
        <w:widowControl/>
        <w:kinsoku/>
        <w:wordWrap/>
        <w:overflowPunct/>
        <w:topLinePunct w:val="0"/>
        <w:autoSpaceDE/>
        <w:autoSpaceDN/>
        <w:bidi w:val="0"/>
        <w:spacing w:line="440" w:lineRule="exact"/>
        <w:ind w:firstLine="422" w:firstLineChars="176"/>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1.6所有货物（如管芯）到现场安装使用前，采购人将进行抽样检验或试验。</w:t>
      </w:r>
    </w:p>
    <w:p>
      <w:pPr>
        <w:keepNext w:val="0"/>
        <w:keepLines w:val="0"/>
        <w:pageBreakBefore w:val="0"/>
        <w:widowControl/>
        <w:kinsoku/>
        <w:wordWrap/>
        <w:overflowPunct/>
        <w:topLinePunct w:val="0"/>
        <w:autoSpaceDE/>
        <w:autoSpaceDN/>
        <w:bidi w:val="0"/>
        <w:spacing w:line="440" w:lineRule="exact"/>
        <w:ind w:firstLine="422" w:firstLineChars="176"/>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1.7</w:t>
      </w:r>
      <w:r>
        <w:rPr>
          <w:rFonts w:hint="eastAsia" w:ascii="仿宋" w:hAnsi="仿宋" w:eastAsia="仿宋" w:cs="仿宋"/>
          <w:color w:val="000000"/>
          <w:sz w:val="24"/>
          <w:szCs w:val="24"/>
          <w:highlight w:val="none"/>
        </w:rPr>
        <w:t>所有的招标物资应按照国家有关技术标准在制造厂检查和试验合格，以表明其运行性能、安全性能以及材料和结构在电气、机械上的完整性。</w:t>
      </w:r>
    </w:p>
    <w:p>
      <w:pPr>
        <w:keepNext w:val="0"/>
        <w:keepLines w:val="0"/>
        <w:pageBreakBefore w:val="0"/>
        <w:tabs>
          <w:tab w:val="left" w:pos="1365"/>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2.数量调整</w:t>
      </w:r>
    </w:p>
    <w:p>
      <w:pPr>
        <w:keepNext w:val="0"/>
        <w:keepLines w:val="0"/>
        <w:pageBreakBefore w:val="0"/>
        <w:widowControl/>
        <w:kinsoku/>
        <w:wordWrap/>
        <w:overflowPunct/>
        <w:topLinePunct w:val="0"/>
        <w:autoSpaceDE/>
        <w:autoSpaceDN/>
        <w:bidi w:val="0"/>
        <w:spacing w:line="440" w:lineRule="exact"/>
        <w:ind w:firstLine="422" w:firstLineChars="176"/>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2.1采购人保留在签约时调整部分方案及定购货物数量和服务的权力，投标人应对系统方案中物资和服务明细报价，按投标单价不变的前提下进行调整，双方不得拒绝。</w:t>
      </w:r>
    </w:p>
    <w:p>
      <w:pPr>
        <w:keepNext w:val="0"/>
        <w:keepLines w:val="0"/>
        <w:pageBreakBefore w:val="0"/>
        <w:widowControl/>
        <w:kinsoku/>
        <w:wordWrap/>
        <w:overflowPunct/>
        <w:topLinePunct w:val="0"/>
        <w:autoSpaceDE/>
        <w:autoSpaceDN/>
        <w:bidi w:val="0"/>
        <w:spacing w:line="440" w:lineRule="exact"/>
        <w:ind w:firstLine="422" w:firstLineChars="176"/>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2.2如遇本次招标没有涉及的物资或服务时，由中标人提供申请，采购人确认后实施。</w:t>
      </w:r>
    </w:p>
    <w:p>
      <w:pPr>
        <w:keepNext w:val="0"/>
        <w:keepLines w:val="0"/>
        <w:pageBreakBefore w:val="0"/>
        <w:tabs>
          <w:tab w:val="left" w:pos="1365"/>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3</w:t>
      </w:r>
      <w:r>
        <w:rPr>
          <w:rFonts w:hint="eastAsia" w:ascii="仿宋" w:hAnsi="仿宋" w:eastAsia="仿宋" w:cs="仿宋"/>
          <w:b/>
          <w:sz w:val="24"/>
          <w:szCs w:val="24"/>
          <w:highlight w:val="none"/>
        </w:rPr>
        <w:t>.项目实施人员费用</w:t>
      </w:r>
    </w:p>
    <w:p>
      <w:pPr>
        <w:keepNext w:val="0"/>
        <w:keepLines w:val="0"/>
        <w:pageBreakBefore w:val="0"/>
        <w:tabs>
          <w:tab w:val="left" w:pos="1365"/>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中标人应自行承担选派专业人员的住宿、就餐和交通等费用。</w:t>
      </w:r>
    </w:p>
    <w:p>
      <w:pPr>
        <w:keepNext w:val="0"/>
        <w:keepLines w:val="0"/>
        <w:pageBreakBefore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color w:val="000000"/>
          <w:sz w:val="24"/>
          <w:szCs w:val="24"/>
          <w:highlight w:val="none"/>
        </w:rPr>
      </w:pPr>
      <w:bookmarkStart w:id="38" w:name="_Toc151354173"/>
      <w:r>
        <w:rPr>
          <w:rFonts w:hint="eastAsia" w:ascii="仿宋" w:hAnsi="仿宋" w:eastAsia="仿宋" w:cs="仿宋"/>
          <w:b/>
          <w:color w:val="000000"/>
          <w:sz w:val="24"/>
          <w:szCs w:val="24"/>
          <w:highlight w:val="none"/>
          <w:lang w:val="en-US" w:eastAsia="zh-CN"/>
        </w:rPr>
        <w:t>4</w:t>
      </w:r>
      <w:r>
        <w:rPr>
          <w:rFonts w:hint="eastAsia" w:ascii="仿宋" w:hAnsi="仿宋" w:eastAsia="仿宋" w:cs="仿宋"/>
          <w:b/>
          <w:color w:val="000000"/>
          <w:sz w:val="24"/>
          <w:szCs w:val="24"/>
          <w:highlight w:val="none"/>
        </w:rPr>
        <w:t>.招标项目名称及数量：</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bCs/>
          <w:sz w:val="24"/>
          <w:szCs w:val="24"/>
          <w:highlight w:val="none"/>
        </w:rPr>
      </w:pPr>
      <w:r>
        <w:rPr>
          <w:rFonts w:hint="eastAsia" w:ascii="仿宋" w:hAnsi="仿宋" w:eastAsia="仿宋" w:cs="仿宋"/>
          <w:sz w:val="24"/>
          <w:szCs w:val="24"/>
          <w:highlight w:val="none"/>
        </w:rPr>
        <w:t>本招标项目总预算</w:t>
      </w:r>
      <w:r>
        <w:rPr>
          <w:rFonts w:hint="eastAsia" w:ascii="仿宋" w:hAnsi="仿宋" w:eastAsia="仿宋" w:cs="仿宋"/>
          <w:sz w:val="24"/>
          <w:szCs w:val="24"/>
          <w:highlight w:val="none"/>
          <w:lang w:val="en-US" w:eastAsia="zh-CN"/>
        </w:rPr>
        <w:t>90</w:t>
      </w:r>
      <w:r>
        <w:rPr>
          <w:rFonts w:hint="eastAsia" w:ascii="仿宋" w:hAnsi="仿宋" w:eastAsia="仿宋" w:cs="仿宋"/>
          <w:sz w:val="24"/>
          <w:szCs w:val="24"/>
          <w:highlight w:val="none"/>
        </w:rPr>
        <w:t>万元，分为2个标段</w:t>
      </w:r>
      <w:bookmarkEnd w:id="38"/>
      <w:r>
        <w:rPr>
          <w:rFonts w:hint="eastAsia" w:ascii="仿宋" w:hAnsi="仿宋" w:eastAsia="仿宋" w:cs="仿宋"/>
          <w:sz w:val="24"/>
          <w:szCs w:val="24"/>
          <w:highlight w:val="none"/>
        </w:rPr>
        <w:t>，其中</w:t>
      </w:r>
      <w:r>
        <w:rPr>
          <w:rFonts w:hint="eastAsia" w:ascii="仿宋" w:hAnsi="仿宋" w:eastAsia="仿宋" w:cs="仿宋"/>
          <w:sz w:val="24"/>
          <w:szCs w:val="24"/>
          <w:highlight w:val="none"/>
          <w:lang w:val="en-US" w:eastAsia="zh-CN"/>
        </w:rPr>
        <w:t>01标</w:t>
      </w:r>
      <w:r>
        <w:rPr>
          <w:rFonts w:hint="eastAsia" w:ascii="仿宋" w:hAnsi="仿宋" w:eastAsia="仿宋" w:cs="仿宋"/>
          <w:sz w:val="24"/>
          <w:szCs w:val="24"/>
          <w:highlight w:val="none"/>
        </w:rPr>
        <w:t>办公用品</w:t>
      </w:r>
      <w:r>
        <w:rPr>
          <w:rFonts w:hint="eastAsia" w:ascii="仿宋" w:hAnsi="仿宋" w:eastAsia="仿宋" w:cs="仿宋"/>
          <w:sz w:val="24"/>
          <w:szCs w:val="24"/>
          <w:highlight w:val="none"/>
          <w:lang w:val="en-US" w:eastAsia="zh-CN"/>
        </w:rPr>
        <w:t>45</w:t>
      </w:r>
      <w:r>
        <w:rPr>
          <w:rFonts w:hint="eastAsia" w:ascii="仿宋" w:hAnsi="仿宋" w:eastAsia="仿宋" w:cs="仿宋"/>
          <w:sz w:val="24"/>
          <w:szCs w:val="24"/>
          <w:highlight w:val="none"/>
        </w:rPr>
        <w:t>万元、</w:t>
      </w:r>
      <w:r>
        <w:rPr>
          <w:rFonts w:hint="eastAsia" w:ascii="仿宋" w:hAnsi="仿宋" w:eastAsia="仿宋" w:cs="仿宋"/>
          <w:sz w:val="24"/>
          <w:szCs w:val="24"/>
          <w:highlight w:val="none"/>
          <w:lang w:val="en-US" w:eastAsia="zh-CN"/>
        </w:rPr>
        <w:t>02标</w:t>
      </w:r>
      <w:r>
        <w:rPr>
          <w:rFonts w:hint="eastAsia" w:ascii="仿宋" w:hAnsi="仿宋" w:eastAsia="仿宋" w:cs="仿宋"/>
          <w:sz w:val="24"/>
          <w:szCs w:val="24"/>
          <w:highlight w:val="none"/>
        </w:rPr>
        <w:t>其他</w:t>
      </w:r>
      <w:r>
        <w:rPr>
          <w:rFonts w:hint="eastAsia" w:ascii="仿宋" w:hAnsi="仿宋" w:eastAsia="仿宋" w:cs="仿宋"/>
          <w:sz w:val="24"/>
          <w:szCs w:val="24"/>
          <w:highlight w:val="none"/>
          <w:lang w:val="en-US" w:eastAsia="zh-CN"/>
        </w:rPr>
        <w:t>后勤物资45</w:t>
      </w:r>
      <w:r>
        <w:rPr>
          <w:rFonts w:hint="eastAsia" w:ascii="仿宋" w:hAnsi="仿宋" w:eastAsia="仿宋" w:cs="仿宋"/>
          <w:sz w:val="24"/>
          <w:szCs w:val="24"/>
          <w:highlight w:val="none"/>
        </w:rPr>
        <w:t>万元。</w:t>
      </w:r>
    </w:p>
    <w:p>
      <w:pPr>
        <w:keepNext w:val="0"/>
        <w:keepLines w:val="0"/>
        <w:pageBreakBefore w:val="0"/>
        <w:tabs>
          <w:tab w:val="left" w:pos="0"/>
        </w:tabs>
        <w:kinsoku/>
        <w:wordWrap/>
        <w:overflowPunct/>
        <w:topLinePunct w:val="0"/>
        <w:autoSpaceDE/>
        <w:autoSpaceDN/>
        <w:bidi w:val="0"/>
        <w:spacing w:line="440" w:lineRule="exact"/>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rPr>
        <w:t>01标</w:t>
      </w:r>
      <w:r>
        <w:rPr>
          <w:rFonts w:hint="eastAsia" w:ascii="仿宋" w:hAnsi="仿宋" w:eastAsia="仿宋" w:cs="仿宋"/>
          <w:b/>
          <w:sz w:val="24"/>
          <w:szCs w:val="24"/>
          <w:highlight w:val="none"/>
          <w:lang w:val="en-US" w:eastAsia="zh-CN"/>
        </w:rPr>
        <w:t xml:space="preserve"> 办公用品</w:t>
      </w:r>
    </w:p>
    <w:tbl>
      <w:tblPr>
        <w:tblStyle w:val="64"/>
        <w:tblpPr w:leftFromText="180" w:rightFromText="180" w:vertAnchor="text" w:horzAnchor="page" w:tblpX="571" w:tblpY="409"/>
        <w:tblOverlap w:val="never"/>
        <w:tblW w:w="10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5"/>
        <w:gridCol w:w="2236"/>
        <w:gridCol w:w="3668"/>
        <w:gridCol w:w="787"/>
        <w:gridCol w:w="967"/>
        <w:gridCol w:w="1117"/>
        <w:gridCol w:w="12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名称</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参考品牌规格（/则为无要求）</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单位</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上限单价（元）</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年预估用量</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年预估总额（元）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A4办公夹板</w:t>
            </w:r>
          </w:p>
        </w:tc>
        <w:tc>
          <w:tcPr>
            <w:tcW w:w="36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得力牌</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A4单强力夹文件夹</w:t>
            </w:r>
          </w:p>
        </w:tc>
        <w:tc>
          <w:tcPr>
            <w:tcW w:w="36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蓝色A4档案盒</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多功能笔筒</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NO.904</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8.96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bCs/>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签字笔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晨光牌，GP1008,笔尖规格0.5mm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1.98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3000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5940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笔芯（按压）</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晨光牌 NO.2306</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0.88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得力牌 6600ES</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0.89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4B美术橡皮</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32mm*23mm*12mm</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0.88</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便利贴(长条状）</w:t>
            </w:r>
          </w:p>
        </w:tc>
        <w:tc>
          <w:tcPr>
            <w:tcW w:w="36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NO.7730</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3.85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便利贴</w:t>
            </w:r>
          </w:p>
        </w:tc>
        <w:tc>
          <w:tcPr>
            <w:tcW w:w="36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NO.9076</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1.88</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标签贴</w:t>
            </w:r>
          </w:p>
        </w:tc>
        <w:tc>
          <w:tcPr>
            <w:tcW w:w="36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得力牌 NO.7737</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本</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标签纸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兴利牌每颗28mm*20mm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白板笔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sz w:val="24"/>
                <w:szCs w:val="24"/>
                <w:highlight w:val="none"/>
                <w:u w:val="none"/>
                <w:lang w:val="en-US" w:eastAsia="zh-CN"/>
              </w:rPr>
              <w:t>得力牌 NO.6817</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透明保鲜盒8216</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21cm*14cm*7cm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6.82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1091.52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透明保鲜盒8217</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26cm*17cm*8.5cm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9.76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透明保鲜盒8218</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32cm*20cm*11cm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16.08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透明保鲜盒8219</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35cm*22.5cm*12cm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16.88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透明保鲜盒8220</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44cm*30cm*15cm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抽杆夹</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得力牌</w:t>
            </w:r>
            <w:r>
              <w:rPr>
                <w:rFonts w:hint="eastAsia" w:ascii="仿宋" w:hAnsi="仿宋" w:eastAsia="仿宋" w:cs="仿宋"/>
                <w:i w:val="0"/>
                <w:iCs w:val="0"/>
                <w:color w:val="000000"/>
                <w:kern w:val="0"/>
                <w:sz w:val="24"/>
                <w:szCs w:val="24"/>
                <w:highlight w:val="none"/>
                <w:u w:val="none"/>
                <w:lang w:val="en-US" w:eastAsia="zh-CN" w:bidi="ar"/>
              </w:rPr>
              <w:t>侧宽10mm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抽杆夹</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得力牌</w:t>
            </w:r>
            <w:r>
              <w:rPr>
                <w:rFonts w:hint="eastAsia" w:ascii="仿宋" w:hAnsi="仿宋" w:eastAsia="仿宋" w:cs="仿宋"/>
                <w:i w:val="0"/>
                <w:iCs w:val="0"/>
                <w:color w:val="000000"/>
                <w:kern w:val="0"/>
                <w:sz w:val="24"/>
                <w:szCs w:val="24"/>
                <w:highlight w:val="none"/>
                <w:u w:val="none"/>
                <w:lang w:val="en-US" w:eastAsia="zh-CN" w:bidi="ar"/>
              </w:rPr>
              <w:t>侧宽15mm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打火机</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0.68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计算器</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sz w:val="24"/>
                <w:szCs w:val="24"/>
                <w:highlight w:val="none"/>
                <w:u w:val="none"/>
                <w:lang w:val="en-US" w:eastAsia="zh-CN"/>
              </w:rPr>
              <w:t>得力牌 NO.1674</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大号擦手纸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宽22.5cm,每箱20包</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bCs/>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大卷纸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超晟牌180mm*95mm，12小卷</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162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800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129600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档案盒</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得力牌</w:t>
            </w:r>
            <w:r>
              <w:rPr>
                <w:rFonts w:hint="eastAsia" w:ascii="仿宋" w:hAnsi="仿宋" w:eastAsia="仿宋" w:cs="仿宋"/>
                <w:i w:val="0"/>
                <w:iCs w:val="0"/>
                <w:color w:val="000000"/>
                <w:kern w:val="0"/>
                <w:sz w:val="24"/>
                <w:szCs w:val="24"/>
                <w:highlight w:val="none"/>
                <w:u w:val="none"/>
                <w:lang w:val="en-US" w:eastAsia="zh-CN" w:bidi="ar"/>
              </w:rPr>
              <w:t>3.5CM档案盒</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4432.5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档案盒</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得力牌5</w:t>
            </w:r>
            <w:r>
              <w:rPr>
                <w:rFonts w:hint="eastAsia" w:ascii="仿宋" w:hAnsi="仿宋" w:eastAsia="仿宋" w:cs="仿宋"/>
                <w:i w:val="0"/>
                <w:iCs w:val="0"/>
                <w:color w:val="000000"/>
                <w:kern w:val="0"/>
                <w:sz w:val="24"/>
                <w:szCs w:val="24"/>
                <w:highlight w:val="none"/>
                <w:u w:val="none"/>
                <w:lang w:val="en-US" w:eastAsia="zh-CN" w:bidi="ar"/>
              </w:rPr>
              <w:t>.5CM档案盒</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电池</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双鹿牌23A12V</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电池</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双鹿牌27A12V</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订书机</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NO.0305</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7.98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319.32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订书针</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24/6,每盒1000枚</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插线板</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公牛牌1.8米3孔</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32.45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插线板</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公牛牌1.8米6孔</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46.89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1172.25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插线板</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公牛牌10米6孔</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108.2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插线板</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公牛牌10米接线盘3孔</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107.1</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红蓝铅笔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NO.58184每盒30支</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回形针</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得力牌3#每盒100只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彩色回形针</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无品牌3#每盒160只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记号笔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sz w:val="24"/>
                <w:szCs w:val="24"/>
                <w:highlight w:val="none"/>
                <w:u w:val="none"/>
                <w:lang w:val="en-US" w:eastAsia="zh-CN"/>
              </w:rPr>
              <w:t>得力牌 NO.6881</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剪刀</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张小泉牌HS-145</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镜子</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面</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卷笔刀</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NO.0739</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卷尺5米</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长城牌 GW-578E</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9.86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卷纸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纸音牌 ≥140g*10卷</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袋</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19.99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矿泉水</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农夫山泉 24瓶/380ML</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29.85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5970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蓝黑水笔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晨光牌 每盒12支</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美工刀</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NO.2003</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6.21</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美纹纸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电池</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南孚牌#5 </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电池</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南孚牌#7</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纽扣电池</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3V</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定制笔记本</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定制款（印LOGO）</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普通毛巾</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洁丽雅牌 33*69CM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起钉器</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NO.0231</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铅笔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中华牌 2B 101</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0.89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墙纸刀</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6.21</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抽纸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清风牌 每盒200抽，206mm*195mm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4.82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抽纸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纸音牌 每包400张</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2.66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3186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湿巾</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纸音牌 每包80片</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清洁球</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每包4个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3.12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热水瓶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清水牌 2.0L</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59.6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三层文件夹</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NO.9217</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24.82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496.44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五连文件夹</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 NO.9838</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24.82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496.44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沙皮纸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张</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纽扣电池</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双鹿9V</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纽扣电池</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双鹿A76</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1.24</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碳性电池</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双鹿9V</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2.34</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宽胶带</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得力牌宽60mm，长≥90m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固体胶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得力牌每支≥20g</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双面胶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得力牌宽5mm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0.54</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双面胶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得力牌宽24cm,长≥9m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1.77</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小透明胶带</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 NO.30064</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0.62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502胶水</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得力牌每支8克</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2.21</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纳米无痕胶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 NO.33601</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16.11</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泡沫胶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1.17</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纳米无痕胶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得力牌15*3</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13.68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纳米无痕胶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得力牌30*3</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10.98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双头细记号笔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得力牌NO.6824</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透明档案袋</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2"/>
                <w:sz w:val="24"/>
                <w:szCs w:val="24"/>
                <w:highlight w:val="none"/>
                <w:u w:val="none"/>
                <w:lang w:val="en-US" w:eastAsia="zh-CN" w:bidi="ar-SA"/>
              </w:rPr>
              <w:t>A4尺寸</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2.07</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资料册40页</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 NO.5004</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10.35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资料册60页</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 NO.5005</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橡皮筋</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斤</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小号擦手纸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霏羽牌，宽11.2cm，每箱40包，每包150抽</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小喷壶（浇花用）</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3.78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小方巾</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超细纤维，不掉毛带挂钩，吸水性好，30cm*30cm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牙膏</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每支90g，参考品牌佳洁士、高露洁</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3.2</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6000</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19170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一次性牙刷</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兴盛牌428</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牙膏</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黑人牌每只40G（儿童型）</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牙刷</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黑人牌牙刷（儿童型）</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牙膏</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黑人牌每只140G</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牙刷</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sz w:val="24"/>
                <w:szCs w:val="24"/>
                <w:highlight w:val="none"/>
                <w:u w:val="none"/>
                <w:lang w:val="en-US" w:eastAsia="zh-CN"/>
              </w:rPr>
              <w:t>黑人牌牙刷（成人型）</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一次性塑料水杯</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每箱20袋</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29.25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一次性雨衣</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2"/>
                <w:sz w:val="24"/>
                <w:szCs w:val="24"/>
                <w:highlight w:val="none"/>
                <w:u w:val="none"/>
                <w:lang w:val="en-US" w:eastAsia="zh-CN" w:bidi="ar-SA"/>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件</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4.88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印台</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得力牌NO.9863</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5.32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圆珠笔</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刀笔</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0.85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长尾票夹15MM</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得力牌ES系列 每盒60个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8.87</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长尾票夹19MM</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得力牌ES系列 每盒40个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8.87</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长尾票夹25MM</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得力牌ES系列 每盒48个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9.76</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长尾票夹32MM</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得力牌ES系列 每盒24个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11.53</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230.58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长尾票夹41MM</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得力牌ES系列 每盒24个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12.41</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248.22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长尾票夹50MM</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得力牌ES系列 每盒12个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13.3</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彩色A4纸</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每包100张</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大号聘书</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荣誉证书</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9.8</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荣誉证书内芯</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张</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结业证书</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sz w:val="24"/>
                <w:szCs w:val="24"/>
                <w:highlight w:val="none"/>
                <w:u w:val="none"/>
                <w:lang w:val="en-US" w:eastAsia="zh-CN"/>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张</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4.83</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自封袋10号</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宏运牌 每包100只</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6.3</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自封袋12号</w:t>
            </w:r>
          </w:p>
        </w:tc>
        <w:tc>
          <w:tcPr>
            <w:tcW w:w="3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宏运牌 每包100只</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8.2</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自封袋15号</w:t>
            </w:r>
          </w:p>
        </w:tc>
        <w:tc>
          <w:tcPr>
            <w:tcW w:w="3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宏运牌 每包100只</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10.8</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自封袋18号</w:t>
            </w:r>
          </w:p>
        </w:tc>
        <w:tc>
          <w:tcPr>
            <w:tcW w:w="3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宏运牌 每包100只</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包</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蒸馏水</w:t>
            </w:r>
          </w:p>
        </w:tc>
        <w:tc>
          <w:tcPr>
            <w:tcW w:w="3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屈臣氏500ML*24瓶</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箱</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63</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bCs/>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热敏收银纸</w:t>
            </w:r>
          </w:p>
        </w:tc>
        <w:tc>
          <w:tcPr>
            <w:tcW w:w="3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秋乐牌80</w:t>
            </w:r>
            <w:r>
              <w:rPr>
                <w:rFonts w:hint="eastAsia" w:ascii="仿宋" w:hAnsi="仿宋" w:eastAsia="仿宋" w:cs="仿宋"/>
                <w:i w:val="0"/>
                <w:iCs w:val="0"/>
                <w:color w:val="000000"/>
                <w:kern w:val="0"/>
                <w:sz w:val="24"/>
                <w:szCs w:val="24"/>
                <w:highlight w:val="none"/>
                <w:u w:val="none"/>
                <w:lang w:val="en-US" w:eastAsia="zh-CN" w:bidi="ar"/>
              </w:rPr>
              <w:t>cm</w:t>
            </w:r>
            <w:r>
              <w:rPr>
                <w:rFonts w:hint="eastAsia" w:ascii="仿宋" w:hAnsi="仿宋" w:eastAsia="仿宋" w:cs="仿宋"/>
                <w:b/>
                <w:bCs/>
                <w:i w:val="0"/>
                <w:iCs w:val="0"/>
                <w:color w:val="000000"/>
                <w:kern w:val="0"/>
                <w:sz w:val="24"/>
                <w:szCs w:val="24"/>
                <w:highlight w:val="none"/>
                <w:u w:val="none"/>
                <w:lang w:val="en-US" w:eastAsia="zh-CN" w:bidi="ar"/>
              </w:rPr>
              <w:t>*80</w:t>
            </w:r>
            <w:r>
              <w:rPr>
                <w:rFonts w:hint="eastAsia" w:ascii="仿宋" w:hAnsi="仿宋" w:eastAsia="仿宋" w:cs="仿宋"/>
                <w:i w:val="0"/>
                <w:iCs w:val="0"/>
                <w:color w:val="000000"/>
                <w:kern w:val="0"/>
                <w:sz w:val="24"/>
                <w:szCs w:val="24"/>
                <w:highlight w:val="none"/>
                <w:u w:val="none"/>
                <w:lang w:val="en-US" w:eastAsia="zh-CN" w:bidi="ar"/>
              </w:rPr>
              <w:t>cm</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卷</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5.4</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4400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23760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val="0"/>
                <w:bCs w:val="0"/>
                <w:i w:val="0"/>
                <w:iCs w:val="0"/>
                <w:color w:val="000000"/>
                <w:kern w:val="2"/>
                <w:sz w:val="24"/>
                <w:szCs w:val="24"/>
                <w:highlight w:val="none"/>
                <w:u w:val="none"/>
                <w:lang w:val="en-US" w:eastAsia="zh-CN" w:bidi="ar-SA"/>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防风展架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注水防风，60cm*90cm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val="0"/>
                <w:bCs w:val="0"/>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双面防风展架</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注水防风，60cm*90cm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207</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val="0"/>
                <w:bCs w:val="0"/>
                <w:i w:val="0"/>
                <w:iCs w:val="0"/>
                <w:color w:val="000000"/>
                <w:sz w:val="24"/>
                <w:szCs w:val="24"/>
                <w:highlight w:val="none"/>
                <w:u w:val="none"/>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L型定制亚力克板</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底面30cm*40cm,立面40cm*65cm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L型定制亚力克板</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底面35cm*60cm,立面60cm*90cm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透明塑料收纳盒</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23.8cm*10.2cm*6.3cm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5.2</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22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透明塑料收纳盒</w:t>
            </w:r>
          </w:p>
        </w:tc>
        <w:tc>
          <w:tcPr>
            <w:tcW w:w="3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17cm*10.3cm*7cm</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180</w:t>
            </w:r>
          </w:p>
        </w:tc>
      </w:tr>
    </w:tbl>
    <w:p>
      <w:pPr>
        <w:keepNext w:val="0"/>
        <w:keepLines w:val="0"/>
        <w:pageBreakBefore w:val="0"/>
        <w:tabs>
          <w:tab w:val="left" w:pos="0"/>
        </w:tabs>
        <w:kinsoku/>
        <w:wordWrap/>
        <w:overflowPunct/>
        <w:topLinePunct w:val="0"/>
        <w:autoSpaceDE/>
        <w:autoSpaceDN/>
        <w:bidi w:val="0"/>
        <w:spacing w:line="440" w:lineRule="exact"/>
        <w:ind w:left="0" w:leftChars="0" w:firstLine="0" w:firstLineChars="0"/>
        <w:textAlignment w:val="auto"/>
        <w:rPr>
          <w:rFonts w:hint="eastAsia" w:ascii="仿宋" w:hAnsi="仿宋" w:eastAsia="仿宋" w:cs="仿宋"/>
          <w:bCs/>
          <w:iCs/>
          <w:sz w:val="24"/>
          <w:szCs w:val="24"/>
          <w:highlight w:val="none"/>
          <w:lang w:val="en-US" w:eastAsia="zh-CN"/>
        </w:rPr>
      </w:pPr>
      <w:r>
        <w:rPr>
          <w:rFonts w:hint="eastAsia" w:ascii="仿宋" w:hAnsi="仿宋" w:eastAsia="仿宋" w:cs="仿宋"/>
          <w:bCs/>
          <w:iCs/>
          <w:sz w:val="24"/>
          <w:szCs w:val="24"/>
          <w:highlight w:val="none"/>
          <w:lang w:val="en-US" w:eastAsia="zh-CN"/>
        </w:rPr>
        <w:t>注：1、上表中的各类办公用品采购量为年度暂定采购数量，结算时按照各类办公用品的中标单价×实际供货数量进行按实结算。</w:t>
      </w:r>
    </w:p>
    <w:p>
      <w:pPr>
        <w:keepNext w:val="0"/>
        <w:keepLines w:val="0"/>
        <w:pageBreakBefore w:val="0"/>
        <w:tabs>
          <w:tab w:val="left" w:pos="0"/>
        </w:tabs>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bCs/>
          <w:iCs/>
          <w:sz w:val="24"/>
          <w:szCs w:val="24"/>
          <w:highlight w:val="none"/>
          <w:lang w:val="en-US" w:eastAsia="zh-CN"/>
        </w:rPr>
      </w:pPr>
      <w:r>
        <w:rPr>
          <w:rFonts w:hint="eastAsia" w:ascii="仿宋" w:hAnsi="仿宋" w:eastAsia="仿宋" w:cs="仿宋"/>
          <w:bCs/>
          <w:iCs/>
          <w:sz w:val="24"/>
          <w:szCs w:val="24"/>
          <w:highlight w:val="none"/>
          <w:lang w:val="en-US" w:eastAsia="zh-CN"/>
        </w:rPr>
        <w:t>2、上表中的各类办公用品的推荐品牌为仅供参考，投标人可以提供推荐品牌同档次或以上的品牌。</w:t>
      </w:r>
    </w:p>
    <w:p>
      <w:pPr>
        <w:keepNext w:val="0"/>
        <w:keepLines w:val="0"/>
        <w:pageBreakBefore w:val="0"/>
        <w:tabs>
          <w:tab w:val="left" w:pos="0"/>
        </w:tabs>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bCs/>
          <w:iCs/>
          <w:sz w:val="24"/>
          <w:szCs w:val="24"/>
          <w:highlight w:val="none"/>
        </w:rPr>
      </w:pPr>
      <w:r>
        <w:rPr>
          <w:rFonts w:hint="eastAsia" w:ascii="仿宋" w:hAnsi="仿宋" w:eastAsia="仿宋" w:cs="仿宋"/>
          <w:bCs/>
          <w:iCs/>
          <w:sz w:val="24"/>
          <w:szCs w:val="24"/>
          <w:highlight w:val="none"/>
          <w:lang w:val="en-US" w:eastAsia="zh-CN"/>
        </w:rPr>
        <w:t>3、采购人如需采购上表外的物资，如采购清单中有类似物品的参照采购清单中价格，如采购清单中无类似物品的，投标人需提供市场参</w:t>
      </w:r>
      <w:r>
        <w:rPr>
          <w:rFonts w:hint="eastAsia" w:ascii="仿宋" w:hAnsi="仿宋" w:eastAsia="仿宋" w:cs="仿宋"/>
          <w:bCs/>
          <w:iCs/>
          <w:sz w:val="24"/>
          <w:szCs w:val="24"/>
          <w:highlight w:val="none"/>
          <w:lang w:val="en-US" w:eastAsia="zh-CN"/>
        </w:rPr>
        <w:t>考价与采购人双方协商确定。</w:t>
      </w:r>
    </w:p>
    <w:p>
      <w:pPr>
        <w:tabs>
          <w:tab w:val="left" w:pos="0"/>
        </w:tabs>
        <w:spacing w:line="400" w:lineRule="exact"/>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rPr>
        <w:t>0</w:t>
      </w: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标</w:t>
      </w:r>
      <w:r>
        <w:rPr>
          <w:rFonts w:hint="eastAsia" w:ascii="仿宋" w:hAnsi="仿宋" w:eastAsia="仿宋" w:cs="仿宋"/>
          <w:b/>
          <w:sz w:val="24"/>
          <w:szCs w:val="24"/>
          <w:highlight w:val="none"/>
          <w:lang w:val="en-US" w:eastAsia="zh-CN"/>
        </w:rPr>
        <w:t xml:space="preserve"> 其他后勤物资</w:t>
      </w:r>
    </w:p>
    <w:tbl>
      <w:tblPr>
        <w:tblStyle w:val="64"/>
        <w:tblW w:w="10833" w:type="dxa"/>
        <w:tblInd w:w="-11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3"/>
        <w:gridCol w:w="2267"/>
        <w:gridCol w:w="3664"/>
        <w:gridCol w:w="696"/>
        <w:gridCol w:w="950"/>
        <w:gridCol w:w="1216"/>
        <w:gridCol w:w="13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名称</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参考品牌规格（/则为无要求）</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上限单价（元）</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年预估用量</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FF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年预估总额（元）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避污膜</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每卷1200片，每片15cm*10cm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18.72</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400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7486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冰袋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一次性160G每包</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生料带</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卡夫威尔牌 TE2689</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0.95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仿真花</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不得低于35厘米</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盆</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花露水</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六神牌195ml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16.71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电蚊器</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小米 2代</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驱蚊片</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配套使用小米电蚊器</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片</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25.65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透明储物箱</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10L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10.45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透明储物箱</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21.85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白色整理箱</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50L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51.3</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创口贴</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邦迪牌或云南白药牌，100片装</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盒</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33.44</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铲刀</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7.85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除胶剂</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12.17</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1216.95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除霉啫喱</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每瓶≥100g</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35.15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电风扇</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美的 落地型</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144.88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防滑垫</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22.23</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防撞球</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4.75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可降解分类垃圾袋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四种颜色,60cm*65cm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0.67</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可降解分类垃圾袋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四种颜色,70cm*80cm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1.43</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可降解分类垃圾袋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四种颜色,92cm*99cm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加厚塑料袋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加厚塑料水桶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27.22</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小水桶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键盘膜</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品莫牌 自由光系列</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6.25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金属排钩</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20.43</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绝缘胶带</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4.28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尼龙扎带</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11.69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val="0"/>
                <w:bCs w:val="0"/>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苹果型挂钩</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sz w:val="24"/>
                <w:szCs w:val="24"/>
                <w:highlight w:val="none"/>
                <w:u w:val="none"/>
                <w:lang w:val="en-US"/>
              </w:rPr>
            </w:pPr>
            <w:r>
              <w:rPr>
                <w:rFonts w:hint="eastAsia" w:ascii="仿宋" w:hAnsi="仿宋" w:eastAsia="仿宋" w:cs="仿宋"/>
                <w:b w:val="0"/>
                <w:bCs w:val="0"/>
                <w:i w:val="0"/>
                <w:iCs w:val="0"/>
                <w:color w:val="000000"/>
                <w:kern w:val="0"/>
                <w:sz w:val="24"/>
                <w:szCs w:val="24"/>
                <w:highlight w:val="none"/>
                <w:u w:val="none"/>
                <w:lang w:val="en-US" w:eastAsia="zh-CN" w:bidi="ar"/>
              </w:rPr>
              <w:t>超强粘性，承重8kg以上</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4.37</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强力胶</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潜水艇牌</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28.5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清洁板刷</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清洁剂</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太阳能玻璃管</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根</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95.95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温湿度计</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宝力马牌JWS-A5</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洗涤剂</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val="0"/>
                <w:bCs w:val="0"/>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洗碗液</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190</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160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30400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洗手液</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蓝月亮牌，绿色瓶装，500g*2瓶</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组</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17.1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小蜜蜂扩音器</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索爱牌 S-350无线版</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79.8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一次性雨伞套（长短）</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长柄雨伞</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42.75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雨伞</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天堂牌，可折叠</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雨鞋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双</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34.77</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遮阳伞（保安站岗用）</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长宽各2.2米</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247</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指甲钳</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6.65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志工服</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42.75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30ML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10.83</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50ML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9.69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100ML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3.23</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500ML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11.78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1000ML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15.2</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2000ML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13.49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3000ML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16.91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3500ML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22.04</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5000ML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27.17</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浴帽</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每包</w:t>
            </w:r>
            <w:r>
              <w:rPr>
                <w:rFonts w:hint="eastAsia" w:ascii="仿宋" w:hAnsi="仿宋" w:eastAsia="仿宋" w:cs="仿宋"/>
                <w:b/>
                <w:bCs/>
                <w:i w:val="0"/>
                <w:iCs w:val="0"/>
                <w:color w:val="000000"/>
                <w:kern w:val="0"/>
                <w:sz w:val="24"/>
                <w:szCs w:val="24"/>
                <w:highlight w:val="none"/>
                <w:u w:val="none"/>
                <w:lang w:val="en-US" w:eastAsia="zh-CN" w:bidi="ar"/>
              </w:rPr>
              <w:t>≥</w:t>
            </w:r>
            <w:r>
              <w:rPr>
                <w:rFonts w:hint="eastAsia" w:ascii="仿宋" w:hAnsi="仿宋" w:eastAsia="仿宋" w:cs="仿宋"/>
                <w:b/>
                <w:bCs/>
                <w:i w:val="0"/>
                <w:iCs w:val="0"/>
                <w:color w:val="000000"/>
                <w:sz w:val="24"/>
                <w:szCs w:val="24"/>
                <w:highlight w:val="none"/>
                <w:u w:val="none"/>
                <w:lang w:val="en-US" w:eastAsia="zh-CN"/>
              </w:rPr>
              <w:t>100只</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8.55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250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2137.5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束缚板（包布）</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束缚板（大套）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大束缚板</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451.25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束缚板（小套）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小束缚板</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392.35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3923.5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一次性鞋套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每包≥100只</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小号刻度杯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凡士林</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纯凡士林，</w:t>
            </w: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i w:val="0"/>
                <w:iCs w:val="0"/>
                <w:color w:val="000000"/>
                <w:sz w:val="24"/>
                <w:szCs w:val="24"/>
                <w:highlight w:val="none"/>
                <w:u w:val="none"/>
                <w:lang w:val="en-US" w:eastAsia="zh-CN"/>
              </w:rPr>
              <w:t>400ml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10.45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紫外线消毒灯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134.9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检查口腔灯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天火牌 银色SF-476白光</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18.91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丁腈手套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食品级抗菌款 长度≥38CM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双</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7.6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13000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98800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薄砂片0.2</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每盒≥100片</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盒</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77.9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装修保护膜</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简丝美涂牌 240CM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卤钨灯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飞利浦牌（适用显微镜）</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生活垃圾桶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64.6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二分类不锈钢垃圾桶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三分类不锈钢垃圾桶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医废垃圾桶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日本LEC计时器</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LEC</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36.1</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茶色避光盒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1ML10支装</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6.65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茶色避光盒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20ML5支装</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16.15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茶色避光盒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2ML6支装</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6.18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val="0"/>
                <w:bCs w:val="0"/>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茶色避光盒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10ML5支装</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9.03</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1ML5支装</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6.46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2ML5支装</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6.46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食品级密封罐</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小号蓝色5个</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27.55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食品袋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每包50只，尺寸26cm*38cm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6.46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食品袋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每包50只，尺寸18cm*26cm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无纺布袋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尺寸60cm*40cm*35cm</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4.75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一次性六格餐盒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每箱≥150只</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可降解五格打包餐盒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每箱≥300只</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570</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可降解方盒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650毫升，每箱≥160只</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84</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可降解方盒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450毫升，每箱≥500只</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96</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定制帆布袋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定制LOGO版</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豆浆杯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每只450ML，每箱≥于1000只</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271.7</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胶手套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型号S、M码</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副</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4.75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白猫洗洁精</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白猫牌，每瓶2公斤,8瓶一箱</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114</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防水袖套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付</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5.7</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保鲜膜</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6.18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食堂专用排拖</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11.4</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抹布</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 xml:space="preserve">妙洁牌 </w:t>
            </w:r>
            <w:r>
              <w:rPr>
                <w:rFonts w:hint="eastAsia" w:ascii="仿宋" w:hAnsi="仿宋" w:eastAsia="仿宋" w:cs="仿宋"/>
                <w:b/>
                <w:bCs/>
                <w:i w:val="0"/>
                <w:iCs w:val="0"/>
                <w:color w:val="000000"/>
                <w:sz w:val="24"/>
                <w:szCs w:val="24"/>
                <w:highlight w:val="none"/>
                <w:u w:val="none"/>
                <w:lang w:val="en-US" w:eastAsia="zh-CN"/>
              </w:rPr>
              <w:t>每包三块</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14.25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1425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不锈钢畚斗</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14.25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油污克星</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410.4</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9849.6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玻璃刷</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套</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包装帯</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2.85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sz w:val="24"/>
                <w:szCs w:val="24"/>
                <w:highlight w:val="none"/>
                <w:u w:val="none"/>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喷雾器</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20L背包式</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76</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灯笼</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直径40厘米，有LED灯可定时亮</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38</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软玻璃</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厚1.5毫米，宽60厘米</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米</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防滑地垫</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宽1.2米，长10米，厚4.5毫米</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无线电源开关</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套</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废液桶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余氯试剂</w:t>
            </w:r>
          </w:p>
        </w:tc>
        <w:tc>
          <w:tcPr>
            <w:tcW w:w="366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陆恒牌，0-10（12）ml/L</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袋</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w:t>
            </w:r>
          </w:p>
        </w:tc>
        <w:tc>
          <w:tcPr>
            <w:tcW w:w="12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w:t>
            </w:r>
          </w:p>
        </w:tc>
        <w:tc>
          <w:tcPr>
            <w:tcW w:w="1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2280</w:t>
            </w:r>
          </w:p>
        </w:tc>
      </w:tr>
    </w:tbl>
    <w:p>
      <w:pPr>
        <w:keepNext w:val="0"/>
        <w:keepLines w:val="0"/>
        <w:pageBreakBefore w:val="0"/>
        <w:tabs>
          <w:tab w:val="left" w:pos="0"/>
        </w:tabs>
        <w:kinsoku/>
        <w:wordWrap/>
        <w:overflowPunct/>
        <w:topLinePunct w:val="0"/>
        <w:autoSpaceDE/>
        <w:autoSpaceDN/>
        <w:bidi w:val="0"/>
        <w:spacing w:line="440" w:lineRule="exact"/>
        <w:ind w:left="0" w:leftChars="0" w:firstLine="0" w:firstLineChars="0"/>
        <w:textAlignment w:val="auto"/>
        <w:rPr>
          <w:rFonts w:hint="eastAsia" w:ascii="仿宋" w:hAnsi="仿宋" w:eastAsia="仿宋" w:cs="仿宋"/>
          <w:bCs/>
          <w:iCs/>
          <w:sz w:val="24"/>
          <w:szCs w:val="24"/>
          <w:highlight w:val="none"/>
          <w:lang w:val="en-US" w:eastAsia="zh-CN"/>
        </w:rPr>
      </w:pPr>
      <w:r>
        <w:rPr>
          <w:rFonts w:hint="eastAsia" w:ascii="仿宋" w:hAnsi="仿宋" w:eastAsia="仿宋" w:cs="仿宋"/>
          <w:bCs/>
          <w:iCs/>
          <w:sz w:val="24"/>
          <w:szCs w:val="24"/>
          <w:highlight w:val="none"/>
          <w:lang w:val="en-US" w:eastAsia="zh-CN"/>
        </w:rPr>
        <w:t>注：1、上表中的各类其他后勤物资采购量为年度暂定采购数量，结算时按照各类其他后勤物资的中标单价×实际供货数量进行按实结算。</w:t>
      </w:r>
    </w:p>
    <w:p>
      <w:pPr>
        <w:keepNext w:val="0"/>
        <w:keepLines w:val="0"/>
        <w:pageBreakBefore w:val="0"/>
        <w:tabs>
          <w:tab w:val="left" w:pos="0"/>
        </w:tabs>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bCs/>
          <w:iCs/>
          <w:sz w:val="24"/>
          <w:szCs w:val="24"/>
          <w:highlight w:val="none"/>
          <w:lang w:val="en-US" w:eastAsia="zh-CN"/>
        </w:rPr>
      </w:pPr>
      <w:r>
        <w:rPr>
          <w:rFonts w:hint="eastAsia" w:ascii="仿宋" w:hAnsi="仿宋" w:eastAsia="仿宋" w:cs="仿宋"/>
          <w:bCs/>
          <w:iCs/>
          <w:sz w:val="24"/>
          <w:szCs w:val="24"/>
          <w:highlight w:val="none"/>
          <w:lang w:val="en-US" w:eastAsia="zh-CN"/>
        </w:rPr>
        <w:t>2、上表中的各类其他后勤物资的推荐品牌为仅供参考，投标人可以提供推荐品牌同档次或以上的品牌。</w:t>
      </w:r>
    </w:p>
    <w:p>
      <w:pPr>
        <w:keepNext w:val="0"/>
        <w:keepLines w:val="0"/>
        <w:pageBreakBefore w:val="0"/>
        <w:tabs>
          <w:tab w:val="left" w:pos="0"/>
        </w:tabs>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bCs/>
          <w:iCs/>
          <w:sz w:val="24"/>
          <w:szCs w:val="24"/>
          <w:highlight w:val="none"/>
        </w:rPr>
      </w:pPr>
      <w:r>
        <w:rPr>
          <w:rFonts w:hint="eastAsia" w:ascii="仿宋" w:hAnsi="仿宋" w:eastAsia="仿宋" w:cs="仿宋"/>
          <w:bCs/>
          <w:iCs/>
          <w:sz w:val="24"/>
          <w:szCs w:val="24"/>
          <w:highlight w:val="none"/>
          <w:lang w:val="en-US" w:eastAsia="zh-CN"/>
        </w:rPr>
        <w:t>3、采购人如需采购上表外的物资，如采</w:t>
      </w:r>
      <w:r>
        <w:rPr>
          <w:rFonts w:hint="eastAsia" w:ascii="仿宋" w:hAnsi="仿宋" w:eastAsia="仿宋" w:cs="仿宋"/>
          <w:bCs/>
          <w:iCs/>
          <w:sz w:val="24"/>
          <w:szCs w:val="24"/>
          <w:highlight w:val="none"/>
          <w:lang w:val="en-US" w:eastAsia="zh-CN"/>
        </w:rPr>
        <w:t>购清单中有类似物品的参照采购清单中价格，如采购清单中无类似物品的，投标人需提供市场</w:t>
      </w:r>
      <w:r>
        <w:rPr>
          <w:rFonts w:hint="eastAsia" w:ascii="仿宋" w:hAnsi="仿宋" w:eastAsia="仿宋" w:cs="仿宋"/>
          <w:bCs/>
          <w:iCs/>
          <w:sz w:val="24"/>
          <w:szCs w:val="24"/>
          <w:highlight w:val="none"/>
          <w:lang w:val="en-US" w:eastAsia="zh-CN"/>
        </w:rPr>
        <w:t>参考价与采购人双方协商确定。</w:t>
      </w:r>
    </w:p>
    <w:p>
      <w:pPr>
        <w:spacing w:line="40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5.</w:t>
      </w:r>
      <w:r>
        <w:rPr>
          <w:rFonts w:hint="eastAsia" w:ascii="仿宋" w:hAnsi="仿宋" w:eastAsia="仿宋" w:cs="仿宋"/>
          <w:b/>
          <w:color w:val="000000"/>
          <w:sz w:val="24"/>
          <w:szCs w:val="24"/>
          <w:highlight w:val="none"/>
        </w:rPr>
        <w:t>项目要求</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（一）品牌、型号：根据采购人</w:t>
      </w:r>
      <w:r>
        <w:rPr>
          <w:rFonts w:hint="eastAsia" w:ascii="仿宋" w:hAnsi="仿宋" w:eastAsia="仿宋" w:cs="仿宋"/>
          <w:color w:val="000000"/>
          <w:sz w:val="24"/>
          <w:szCs w:val="24"/>
          <w:highlight w:val="none"/>
          <w:lang w:val="en-US" w:eastAsia="zh-CN"/>
        </w:rPr>
        <w:t>清单列表名称规格</w:t>
      </w:r>
      <w:r>
        <w:rPr>
          <w:rFonts w:hint="eastAsia" w:ascii="仿宋" w:hAnsi="仿宋" w:eastAsia="仿宋" w:cs="仿宋"/>
          <w:color w:val="000000"/>
          <w:sz w:val="24"/>
          <w:szCs w:val="24"/>
          <w:highlight w:val="none"/>
        </w:rPr>
        <w:t>要求，并承诺中标后提供相对应的产品。</w:t>
      </w:r>
    </w:p>
    <w:p>
      <w:pPr>
        <w:widowControl/>
        <w:spacing w:line="440" w:lineRule="exact"/>
        <w:ind w:firstLine="422" w:firstLineChars="176"/>
        <w:jc w:val="left"/>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（二）适用范围：办公用品及其他后勤物资</w:t>
      </w:r>
      <w:r>
        <w:rPr>
          <w:rFonts w:hint="eastAsia" w:ascii="仿宋" w:hAnsi="仿宋" w:eastAsia="仿宋" w:cs="仿宋"/>
          <w:color w:val="000000"/>
          <w:sz w:val="24"/>
          <w:szCs w:val="24"/>
          <w:highlight w:val="none"/>
          <w:lang w:eastAsia="zh-CN"/>
        </w:rPr>
        <w:t>。</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（三）主要技术要求（技术参数和功能）及配置要求：</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1、采购数量根据医院实际需求确定；</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、所供商品必须符合国家行业生产及经营标准，货真价实，均能提供相应批次的合格检验证明；</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、投标货物必须各项技术指标完全符合国家有关质量检测、环保标准及产品出厂标准；</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、投标人不得变更供应商品，应严格按招标要求（含商标、名称、产地、规格和重量等）供应，否则，采购人有权拒收；如因市场流通问题确实需要变更的，应书面向采购人申请；</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、所带样品序号为</w:t>
      </w:r>
      <w:r>
        <w:rPr>
          <w:rFonts w:hint="eastAsia" w:ascii="仿宋" w:hAnsi="仿宋" w:eastAsia="仿宋" w:cs="仿宋"/>
          <w:color w:val="000000"/>
          <w:sz w:val="24"/>
          <w:szCs w:val="24"/>
          <w:highlight w:val="none"/>
          <w:lang w:val="en-US" w:eastAsia="zh-CN"/>
        </w:rPr>
        <w:t>01标</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4、23、56</w:t>
      </w:r>
      <w:r>
        <w:rPr>
          <w:rFonts w:hint="eastAsia" w:ascii="仿宋" w:hAnsi="仿宋" w:eastAsia="仿宋" w:cs="仿宋"/>
          <w:color w:val="auto"/>
          <w:sz w:val="24"/>
          <w:szCs w:val="24"/>
          <w:highlight w:val="none"/>
          <w:lang w:val="en-US" w:eastAsia="zh-CN"/>
        </w:rPr>
        <w:t>、84、110</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02标（1、36、54、65、95）</w:t>
      </w:r>
      <w:r>
        <w:rPr>
          <w:rFonts w:hint="eastAsia" w:ascii="仿宋" w:hAnsi="仿宋" w:eastAsia="仿宋" w:cs="仿宋"/>
          <w:color w:val="000000"/>
          <w:sz w:val="24"/>
          <w:szCs w:val="24"/>
          <w:highlight w:val="none"/>
        </w:rPr>
        <w:t>，开标现场须带</w:t>
      </w:r>
      <w:r>
        <w:rPr>
          <w:rFonts w:hint="eastAsia" w:ascii="仿宋" w:hAnsi="仿宋" w:eastAsia="仿宋" w:cs="仿宋"/>
          <w:color w:val="000000"/>
          <w:sz w:val="24"/>
          <w:szCs w:val="24"/>
          <w:highlight w:val="none"/>
          <w:lang w:val="en-US" w:eastAsia="zh-CN"/>
        </w:rPr>
        <w:t>指定的所有</w:t>
      </w:r>
      <w:r>
        <w:rPr>
          <w:rFonts w:hint="eastAsia" w:ascii="仿宋" w:hAnsi="仿宋" w:eastAsia="仿宋" w:cs="仿宋"/>
          <w:color w:val="000000"/>
          <w:sz w:val="24"/>
          <w:szCs w:val="24"/>
          <w:highlight w:val="none"/>
        </w:rPr>
        <w:t>物品样品，所有样品须贴标签，并注明“投标单位+物品名称”。</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、供应商有自己的配送渠道，不论金额多少，能承诺于下单后</w:t>
      </w:r>
      <w:r>
        <w:rPr>
          <w:rFonts w:hint="eastAsia" w:ascii="仿宋" w:hAnsi="仿宋" w:eastAsia="仿宋" w:cs="仿宋"/>
          <w:color w:val="000000"/>
          <w:sz w:val="24"/>
          <w:szCs w:val="24"/>
          <w:highlight w:val="none"/>
          <w:lang w:val="en-US" w:eastAsia="zh-CN"/>
        </w:rPr>
        <w:t>24小时</w:t>
      </w:r>
      <w:r>
        <w:rPr>
          <w:rFonts w:hint="eastAsia" w:ascii="仿宋" w:hAnsi="仿宋" w:eastAsia="仿宋" w:cs="仿宋"/>
          <w:color w:val="000000"/>
          <w:sz w:val="24"/>
          <w:szCs w:val="24"/>
          <w:highlight w:val="none"/>
        </w:rPr>
        <w:t>内送货到医院；紧急情况要求</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小时</w:t>
      </w:r>
      <w:r>
        <w:rPr>
          <w:rFonts w:hint="eastAsia" w:ascii="仿宋" w:hAnsi="仿宋" w:eastAsia="仿宋" w:cs="仿宋"/>
          <w:color w:val="000000"/>
          <w:sz w:val="24"/>
          <w:szCs w:val="24"/>
          <w:highlight w:val="none"/>
          <w:lang w:val="en-US" w:eastAsia="zh-CN"/>
        </w:rPr>
        <w:t>内</w:t>
      </w:r>
      <w:r>
        <w:rPr>
          <w:rFonts w:hint="eastAsia" w:ascii="仿宋" w:hAnsi="仿宋" w:eastAsia="仿宋" w:cs="仿宋"/>
          <w:color w:val="000000"/>
          <w:sz w:val="24"/>
          <w:szCs w:val="24"/>
          <w:highlight w:val="none"/>
        </w:rPr>
        <w:t>送货到医院指定地点。</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、保修服务要求：投标产品至少质保期6个月。在质保期内，如提供产品因本身质量问题出现故障，中标单位无条件更换产品。</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、供货价格：送货单上必须注明单价，根据中标下浮率进行调整单价，开具发票时应按招标条款结算，否则采购人有权拒绝付款。</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9</w:t>
      </w:r>
      <w:r>
        <w:rPr>
          <w:rFonts w:hint="eastAsia" w:ascii="仿宋" w:hAnsi="仿宋" w:eastAsia="仿宋" w:cs="仿宋"/>
          <w:color w:val="000000"/>
          <w:sz w:val="24"/>
          <w:szCs w:val="24"/>
          <w:highlight w:val="none"/>
        </w:rPr>
        <w:t>、若中标后投标人未能按投标书提供相应功能，以及发现中标人在投标书中存在弄虚作假情况，采购单位有权取消合同，由此给采购单位造成的一切损失均由中标方承担。</w:t>
      </w:r>
    </w:p>
    <w:p>
      <w:pPr>
        <w:widowControl/>
        <w:spacing w:line="440" w:lineRule="exact"/>
        <w:ind w:firstLine="422" w:firstLineChars="176"/>
        <w:jc w:val="left"/>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0</w:t>
      </w:r>
      <w:r>
        <w:rPr>
          <w:rFonts w:hint="eastAsia" w:ascii="仿宋" w:hAnsi="仿宋" w:eastAsia="仿宋" w:cs="仿宋"/>
          <w:color w:val="000000"/>
          <w:sz w:val="24"/>
          <w:szCs w:val="24"/>
          <w:highlight w:val="none"/>
        </w:rPr>
        <w:t>、非采购人的人为原因而出现产品质量，由投标人负责包换或包退，并承担因此而产生的一切费用</w:t>
      </w:r>
      <w:r>
        <w:rPr>
          <w:rFonts w:hint="eastAsia" w:ascii="仿宋" w:hAnsi="仿宋" w:eastAsia="仿宋" w:cs="仿宋"/>
          <w:color w:val="000000"/>
          <w:sz w:val="24"/>
          <w:szCs w:val="24"/>
          <w:highlight w:val="none"/>
          <w:lang w:eastAsia="zh-CN"/>
        </w:rPr>
        <w:t>。</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、中标人对所提供商品的安全质量负责，并承担因质量问题的引起的一切法律责任以及赔偿责任。</w:t>
      </w:r>
    </w:p>
    <w:p>
      <w:pPr>
        <w:widowControl/>
        <w:spacing w:line="440" w:lineRule="exact"/>
        <w:ind w:firstLine="422" w:firstLineChars="176"/>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12、出现下列情形的，采购单位有权单方面中止合同：</w:t>
      </w:r>
    </w:p>
    <w:p>
      <w:pPr>
        <w:widowControl/>
        <w:spacing w:line="440" w:lineRule="exact"/>
        <w:ind w:firstLine="422" w:firstLineChars="176"/>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1）中标单位未按采购人规定时间供货或以缺货为由不送货累计三次的。</w:t>
      </w:r>
    </w:p>
    <w:p>
      <w:pPr>
        <w:widowControl/>
        <w:spacing w:line="440" w:lineRule="exact"/>
        <w:ind w:firstLine="422" w:firstLineChars="176"/>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2）质量、规格验收不符要求（一律退货），使用中发现产品有质量问题或货物为非标产品累计出现三次的。</w:t>
      </w:r>
    </w:p>
    <w:p>
      <w:pPr>
        <w:widowControl/>
        <w:spacing w:line="440" w:lineRule="exact"/>
        <w:ind w:firstLine="422" w:firstLineChars="176"/>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3）凡供货物品价格高于市场同期价（指甲方同期购买、同规格、同质量、同产品的价格）累计三次的。</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4）中标单位提供产品经查实为同品牌假冒产品替代的。</w:t>
      </w:r>
    </w:p>
    <w:p>
      <w:pPr>
        <w:widowControl/>
        <w:spacing w:line="440" w:lineRule="exact"/>
        <w:ind w:firstLine="422" w:firstLineChars="176"/>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13、如上级主管部门有最新文件公布，则按照上级文件规定执行。</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2"/>
        <w:ind w:left="0" w:leftChars="0" w:firstLine="0" w:firstLineChars="0"/>
        <w:rPr>
          <w:rFonts w:hint="eastAsia" w:ascii="仿宋" w:hAnsi="仿宋" w:eastAsia="仿宋" w:cs="仿宋"/>
          <w:color w:val="auto"/>
          <w:szCs w:val="24"/>
          <w:highlight w:val="none"/>
        </w:rPr>
      </w:pPr>
    </w:p>
    <w:p>
      <w:pPr>
        <w:pStyle w:val="702"/>
        <w:jc w:val="center"/>
        <w:rPr>
          <w:rFonts w:hint="eastAsia" w:ascii="仿宋" w:hAnsi="仿宋" w:eastAsia="仿宋" w:cs="仿宋"/>
          <w:color w:val="auto"/>
          <w:szCs w:val="24"/>
          <w:highlight w:val="none"/>
        </w:rPr>
      </w:pPr>
    </w:p>
    <w:p>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2"/>
        <w:rPr>
          <w:rFonts w:hint="eastAsia" w:ascii="仿宋" w:hAnsi="仿宋" w:eastAsia="仿宋" w:cs="仿宋"/>
          <w:color w:val="auto"/>
          <w:szCs w:val="24"/>
          <w:highlight w:val="none"/>
        </w:rPr>
      </w:pPr>
    </w:p>
    <w:p>
      <w:pPr>
        <w:pStyle w:val="702"/>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hint="eastAsia" w:ascii="仿宋" w:hAnsi="仿宋" w:eastAsia="仿宋" w:cs="仿宋"/>
          <w:color w:val="auto"/>
          <w:szCs w:val="24"/>
          <w:highlight w:val="none"/>
        </w:rPr>
      </w:pPr>
    </w:p>
    <w:p>
      <w:pPr>
        <w:pStyle w:val="600"/>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39" w:name="_Toc3029"/>
      <w:bookmarkStart w:id="40" w:name="_Toc2232"/>
      <w:bookmarkStart w:id="41" w:name="_Toc24059"/>
      <w:r>
        <w:rPr>
          <w:rFonts w:hint="eastAsia" w:ascii="仿宋" w:hAnsi="仿宋" w:eastAsia="仿宋" w:cs="仿宋"/>
          <w:b/>
          <w:color w:val="auto"/>
          <w:sz w:val="24"/>
          <w:highlight w:val="none"/>
        </w:rPr>
        <w:t>1.1 合同组成部分</w:t>
      </w:r>
      <w:bookmarkEnd w:id="39"/>
      <w:bookmarkEnd w:id="40"/>
      <w:bookmarkEnd w:id="4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2" w:name="_Toc27126"/>
      <w:bookmarkStart w:id="43" w:name="_Toc21295"/>
      <w:bookmarkStart w:id="44" w:name="_Toc24300"/>
      <w:r>
        <w:rPr>
          <w:rFonts w:hint="eastAsia" w:ascii="仿宋" w:hAnsi="仿宋" w:eastAsia="仿宋" w:cs="仿宋"/>
          <w:b/>
          <w:color w:val="auto"/>
          <w:sz w:val="24"/>
          <w:highlight w:val="none"/>
        </w:rPr>
        <w:t>1.2 货物</w:t>
      </w:r>
      <w:bookmarkEnd w:id="42"/>
      <w:bookmarkEnd w:id="43"/>
      <w:bookmarkEnd w:id="44"/>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hint="eastAsia" w:ascii="仿宋" w:hAnsi="仿宋" w:eastAsia="仿宋" w:cs="仿宋"/>
          <w:b/>
          <w:color w:val="auto"/>
          <w:sz w:val="24"/>
          <w:highlight w:val="none"/>
        </w:rPr>
      </w:pPr>
      <w:bookmarkStart w:id="45" w:name="_Toc23292"/>
      <w:bookmarkStart w:id="46" w:name="_Toc21551"/>
      <w:bookmarkStart w:id="47" w:name="_Toc21631"/>
      <w:r>
        <w:rPr>
          <w:rFonts w:hint="eastAsia" w:ascii="仿宋" w:hAnsi="仿宋" w:eastAsia="仿宋" w:cs="仿宋"/>
          <w:b/>
          <w:color w:val="auto"/>
          <w:sz w:val="24"/>
          <w:highlight w:val="none"/>
        </w:rPr>
        <w:t>1.3 价款</w:t>
      </w:r>
      <w:bookmarkEnd w:id="45"/>
      <w:bookmarkEnd w:id="46"/>
      <w:bookmarkEnd w:id="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bl>
    <w:p>
      <w:pPr>
        <w:pStyle w:val="958"/>
        <w:spacing w:before="0" w:beforeAutospacing="0" w:after="0" w:afterAutospacing="0" w:line="360" w:lineRule="auto"/>
        <w:ind w:firstLine="480"/>
        <w:rPr>
          <w:rFonts w:hint="eastAsia" w:ascii="仿宋" w:hAnsi="仿宋" w:eastAsia="仿宋" w:cs="仿宋"/>
          <w:b/>
          <w:color w:val="auto"/>
          <w:highlight w:val="none"/>
        </w:rPr>
      </w:pPr>
      <w:bookmarkStart w:id="48" w:name="_Toc22618"/>
      <w:bookmarkStart w:id="49" w:name="_Toc1814"/>
      <w:bookmarkStart w:id="50" w:name="_Toc10340"/>
      <w:r>
        <w:rPr>
          <w:rFonts w:hint="eastAsia" w:ascii="仿宋" w:hAnsi="仿宋" w:eastAsia="仿宋" w:cs="仿宋"/>
          <w:b/>
          <w:color w:val="auto"/>
          <w:highlight w:val="none"/>
        </w:rPr>
        <w:t>1.4履约保证金</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5"/>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8"/>
      <w:bookmarkEnd w:id="49"/>
      <w:bookmarkEnd w:id="50"/>
      <w:r>
        <w:rPr>
          <w:rFonts w:hint="eastAsia" w:ascii="仿宋" w:hAnsi="仿宋" w:eastAsia="仿宋" w:cs="仿宋"/>
          <w:b/>
          <w:color w:val="auto"/>
          <w:sz w:val="24"/>
          <w:highlight w:val="none"/>
        </w:rPr>
        <w:t>预付款</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1" w:name="_Toc19304"/>
      <w:bookmarkStart w:id="52" w:name="_Toc32071"/>
      <w:bookmarkStart w:id="53" w:name="_Toc2846"/>
      <w:r>
        <w:rPr>
          <w:rFonts w:hint="eastAsia" w:ascii="仿宋" w:hAnsi="仿宋" w:eastAsia="仿宋" w:cs="仿宋"/>
          <w:b/>
          <w:color w:val="auto"/>
          <w:sz w:val="24"/>
          <w:highlight w:val="none"/>
        </w:rPr>
        <w:t>1.7货物交付期限、地点和方式</w:t>
      </w:r>
      <w:bookmarkEnd w:id="51"/>
      <w:bookmarkEnd w:id="52"/>
      <w:bookmarkEnd w:id="53"/>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4" w:name="_Toc19554"/>
      <w:bookmarkStart w:id="55" w:name="_Toc27250"/>
      <w:bookmarkStart w:id="56" w:name="_Toc21423"/>
      <w:r>
        <w:rPr>
          <w:rFonts w:hint="eastAsia" w:ascii="仿宋" w:hAnsi="仿宋" w:eastAsia="仿宋" w:cs="仿宋"/>
          <w:b/>
          <w:color w:val="auto"/>
          <w:sz w:val="24"/>
          <w:highlight w:val="none"/>
        </w:rPr>
        <w:t>1.8违约责任</w:t>
      </w:r>
      <w:bookmarkEnd w:id="54"/>
      <w:bookmarkEnd w:id="55"/>
      <w:bookmarkEnd w:id="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57" w:name="_Toc28375"/>
      <w:bookmarkStart w:id="58" w:name="_Toc15583"/>
      <w:bookmarkStart w:id="59" w:name="_Toc16021"/>
      <w:r>
        <w:rPr>
          <w:rFonts w:hint="eastAsia" w:ascii="仿宋" w:hAnsi="仿宋" w:eastAsia="仿宋" w:cs="仿宋"/>
          <w:b/>
          <w:color w:val="auto"/>
          <w:sz w:val="24"/>
          <w:highlight w:val="none"/>
        </w:rPr>
        <w:t>1.9合同争议的解决</w:t>
      </w:r>
      <w:bookmarkEnd w:id="57"/>
      <w:bookmarkEnd w:id="58"/>
      <w:bookmarkEnd w:id="59"/>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60" w:name="_Toc15322"/>
      <w:bookmarkStart w:id="61" w:name="_Toc11173"/>
      <w:bookmarkStart w:id="62" w:name="_Toc7245"/>
      <w:r>
        <w:rPr>
          <w:rFonts w:hint="eastAsia" w:ascii="仿宋" w:hAnsi="仿宋" w:eastAsia="仿宋" w:cs="仿宋"/>
          <w:b/>
          <w:color w:val="auto"/>
          <w:sz w:val="24"/>
          <w:highlight w:val="none"/>
        </w:rPr>
        <w:t>2.0 合同生效</w:t>
      </w:r>
      <w:bookmarkEnd w:id="60"/>
      <w:bookmarkEnd w:id="61"/>
      <w:bookmarkEnd w:id="62"/>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5"/>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5"/>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5"/>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3" w:name="_Toc259093669"/>
      <w:bookmarkStart w:id="64" w:name="_Toc279701240"/>
      <w:bookmarkStart w:id="65" w:name="_Toc16917"/>
      <w:bookmarkStart w:id="66" w:name="_Ref467378404"/>
      <w:bookmarkStart w:id="67" w:name="_Ref467379101"/>
      <w:bookmarkStart w:id="68" w:name="_Toc487900349"/>
      <w:bookmarkStart w:id="69" w:name="_Ref467378463"/>
      <w:bookmarkStart w:id="70" w:name="_Ref467379205"/>
      <w:bookmarkStart w:id="71" w:name="_Ref467379195"/>
      <w:bookmarkStart w:id="72" w:name="_Ref467378499"/>
      <w:bookmarkStart w:id="73" w:name="_Ref467379225"/>
      <w:bookmarkStart w:id="74" w:name="_Ref467379214"/>
      <w:bookmarkStart w:id="75" w:name="_Ref467379094"/>
      <w:bookmarkStart w:id="76" w:name="_Toc19614"/>
      <w:bookmarkStart w:id="77" w:name="_Ref467379109"/>
      <w:bookmarkStart w:id="78" w:name="_Toc28763"/>
      <w:r>
        <w:rPr>
          <w:rFonts w:hint="eastAsia" w:ascii="仿宋" w:hAnsi="仿宋" w:eastAsia="仿宋" w:cs="仿宋"/>
          <w:b/>
          <w:color w:val="auto"/>
          <w:sz w:val="24"/>
          <w:highlight w:val="none"/>
        </w:rPr>
        <w:t>2.1 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79" w:name="_Ref467378840"/>
      <w:r>
        <w:rPr>
          <w:rFonts w:hint="eastAsia" w:ascii="仿宋" w:hAnsi="仿宋" w:eastAsia="仿宋" w:cs="仿宋"/>
          <w:color w:val="auto"/>
          <w:sz w:val="24"/>
          <w:highlight w:val="none"/>
        </w:rPr>
        <w:t>2.1.4 “甲方”系指与中标或成交供应商签署合同的采购人</w:t>
      </w:r>
      <w:bookmarkEnd w:id="79"/>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80" w:name="_Ref467379400"/>
      <w:r>
        <w:rPr>
          <w:rFonts w:hint="eastAsia" w:ascii="仿宋" w:hAnsi="仿宋" w:eastAsia="仿宋" w:cs="仿宋"/>
          <w:color w:val="auto"/>
          <w:sz w:val="24"/>
          <w:highlight w:val="none"/>
        </w:rPr>
        <w:t>2.1.5 “乙方”系指根据合同约定交付货物的中标或成交供应商</w:t>
      </w:r>
      <w:bookmarkEnd w:id="80"/>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81" w:name="_Ref467379436"/>
      <w:r>
        <w:rPr>
          <w:rFonts w:hint="eastAsia" w:ascii="仿宋" w:hAnsi="仿宋" w:eastAsia="仿宋" w:cs="仿宋"/>
          <w:color w:val="auto"/>
          <w:sz w:val="24"/>
          <w:highlight w:val="none"/>
        </w:rPr>
        <w:t>2.1.6 “现场”系指合同约定货物将要运至或者安装的地点。</w:t>
      </w:r>
      <w:bookmarkEnd w:id="81"/>
    </w:p>
    <w:p>
      <w:pPr>
        <w:spacing w:line="560" w:lineRule="exact"/>
        <w:ind w:firstLine="482" w:firstLineChars="200"/>
        <w:outlineLvl w:val="0"/>
        <w:rPr>
          <w:rFonts w:hint="eastAsia" w:ascii="仿宋" w:hAnsi="仿宋" w:eastAsia="仿宋" w:cs="仿宋"/>
          <w:b/>
          <w:color w:val="auto"/>
          <w:sz w:val="24"/>
          <w:highlight w:val="none"/>
        </w:rPr>
      </w:pPr>
      <w:bookmarkStart w:id="82" w:name="_Toc13336"/>
      <w:bookmarkStart w:id="83" w:name="_Toc27635"/>
      <w:bookmarkStart w:id="84" w:name="_Toc279701241"/>
      <w:bookmarkStart w:id="85" w:name="_Toc259093670"/>
      <w:bookmarkStart w:id="86" w:name="_Toc487900350"/>
      <w:bookmarkStart w:id="87" w:name="_Toc32504"/>
      <w:r>
        <w:rPr>
          <w:rFonts w:hint="eastAsia" w:ascii="仿宋" w:hAnsi="仿宋" w:eastAsia="仿宋" w:cs="仿宋"/>
          <w:b/>
          <w:color w:val="auto"/>
          <w:sz w:val="24"/>
          <w:highlight w:val="none"/>
        </w:rPr>
        <w:t>2.2 技术规范</w:t>
      </w:r>
      <w:bookmarkEnd w:id="82"/>
      <w:bookmarkEnd w:id="83"/>
      <w:bookmarkEnd w:id="84"/>
      <w:bookmarkEnd w:id="85"/>
      <w:bookmarkEnd w:id="86"/>
      <w:bookmarkEnd w:id="8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88" w:name="_Toc31634"/>
      <w:bookmarkStart w:id="89" w:name="_Toc487900351"/>
      <w:bookmarkStart w:id="90" w:name="_Toc9829"/>
      <w:bookmarkStart w:id="91" w:name="_Toc279701242"/>
      <w:bookmarkStart w:id="92" w:name="_Toc259093671"/>
      <w:bookmarkStart w:id="93" w:name="_Toc27853"/>
      <w:r>
        <w:rPr>
          <w:rFonts w:hint="eastAsia" w:ascii="仿宋" w:hAnsi="仿宋" w:eastAsia="仿宋" w:cs="仿宋"/>
          <w:b/>
          <w:color w:val="auto"/>
          <w:sz w:val="24"/>
          <w:highlight w:val="none"/>
        </w:rPr>
        <w:t>2.3 知识产权</w:t>
      </w:r>
      <w:bookmarkEnd w:id="88"/>
      <w:bookmarkEnd w:id="89"/>
      <w:bookmarkEnd w:id="90"/>
      <w:bookmarkEnd w:id="91"/>
      <w:bookmarkEnd w:id="92"/>
      <w:bookmarkEnd w:id="9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4" w:name="_Toc4194"/>
      <w:bookmarkStart w:id="95" w:name="_Toc11932"/>
      <w:bookmarkStart w:id="96" w:name="_Toc29149"/>
      <w:r>
        <w:rPr>
          <w:rFonts w:hint="eastAsia" w:ascii="仿宋" w:hAnsi="仿宋" w:eastAsia="仿宋" w:cs="仿宋"/>
          <w:b/>
          <w:color w:val="auto"/>
          <w:sz w:val="24"/>
          <w:highlight w:val="none"/>
        </w:rPr>
        <w:t>2.4 包装和装运</w:t>
      </w:r>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7" w:name="_Toc279701245"/>
      <w:bookmarkStart w:id="98" w:name="_Ref467379527"/>
      <w:bookmarkStart w:id="99" w:name="_Ref467379536"/>
      <w:bookmarkStart w:id="100" w:name="_Toc259093674"/>
      <w:bookmarkStart w:id="101" w:name="_Ref467378591"/>
      <w:bookmarkStart w:id="102" w:name="_Ref467378541"/>
      <w:bookmarkStart w:id="103" w:name="_Toc487900354"/>
      <w:bookmarkStart w:id="104" w:name="_Ref467379542"/>
      <w:bookmarkStart w:id="105" w:name="_Toc30272"/>
      <w:bookmarkStart w:id="106" w:name="_Toc26182"/>
      <w:bookmarkStart w:id="107" w:name="_Toc19074"/>
      <w:r>
        <w:rPr>
          <w:rFonts w:hint="eastAsia" w:ascii="仿宋" w:hAnsi="仿宋" w:eastAsia="仿宋" w:cs="仿宋"/>
          <w:b/>
          <w:color w:val="auto"/>
          <w:sz w:val="24"/>
          <w:highlight w:val="none"/>
        </w:rPr>
        <w:t>2.</w:t>
      </w:r>
      <w:bookmarkEnd w:id="97"/>
      <w:bookmarkEnd w:id="98"/>
      <w:bookmarkEnd w:id="99"/>
      <w:bookmarkEnd w:id="100"/>
      <w:bookmarkEnd w:id="101"/>
      <w:bookmarkEnd w:id="102"/>
      <w:bookmarkEnd w:id="103"/>
      <w:bookmarkEnd w:id="104"/>
      <w:r>
        <w:rPr>
          <w:rFonts w:hint="eastAsia" w:ascii="仿宋" w:hAnsi="仿宋" w:eastAsia="仿宋" w:cs="仿宋"/>
          <w:b/>
          <w:color w:val="auto"/>
          <w:sz w:val="24"/>
          <w:highlight w:val="none"/>
        </w:rPr>
        <w:t>5 履约检查和问题反馈</w:t>
      </w:r>
      <w:bookmarkEnd w:id="105"/>
      <w:bookmarkEnd w:id="106"/>
      <w:bookmarkEnd w:id="107"/>
    </w:p>
    <w:p>
      <w:pPr>
        <w:spacing w:line="560" w:lineRule="exact"/>
        <w:ind w:firstLine="480" w:firstLineChars="200"/>
        <w:rPr>
          <w:rFonts w:hint="eastAsia" w:ascii="仿宋" w:hAnsi="仿宋" w:eastAsia="仿宋" w:cs="仿宋"/>
          <w:color w:val="auto"/>
          <w:sz w:val="24"/>
          <w:highlight w:val="none"/>
        </w:rPr>
      </w:pPr>
      <w:bookmarkStart w:id="108" w:name="_Ref467379657"/>
      <w:r>
        <w:rPr>
          <w:rFonts w:hint="eastAsia" w:ascii="仿宋" w:hAnsi="仿宋" w:eastAsia="仿宋" w:cs="仿宋"/>
          <w:color w:val="auto"/>
          <w:sz w:val="24"/>
          <w:highlight w:val="none"/>
        </w:rPr>
        <w:t>2.5.1</w:t>
      </w:r>
      <w:bookmarkEnd w:id="108"/>
      <w:bookmarkStart w:id="109" w:name="_Toc186431854"/>
      <w:bookmarkStart w:id="110" w:name="_Toc279701247"/>
      <w:bookmarkStart w:id="111" w:name="_Toc487900357"/>
      <w:bookmarkStart w:id="112" w:name="_Toc259093676"/>
      <w:bookmarkStart w:id="113" w:name="_Ref467379793"/>
      <w:bookmarkStart w:id="114"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9"/>
      <w:bookmarkStart w:id="115" w:name="_Toc186431855"/>
      <w:r>
        <w:rPr>
          <w:rFonts w:hint="eastAsia" w:ascii="仿宋" w:hAnsi="仿宋" w:eastAsia="仿宋" w:cs="仿宋"/>
          <w:color w:val="auto"/>
          <w:sz w:val="24"/>
          <w:highlight w:val="none"/>
        </w:rPr>
        <w:t>。</w:t>
      </w:r>
    </w:p>
    <w:bookmarkEnd w:id="110"/>
    <w:bookmarkEnd w:id="111"/>
    <w:bookmarkEnd w:id="112"/>
    <w:bookmarkEnd w:id="113"/>
    <w:bookmarkEnd w:id="114"/>
    <w:bookmarkEnd w:id="115"/>
    <w:p>
      <w:pPr>
        <w:spacing w:line="560" w:lineRule="exact"/>
        <w:ind w:firstLine="482" w:firstLineChars="200"/>
        <w:outlineLvl w:val="0"/>
        <w:rPr>
          <w:rFonts w:hint="eastAsia" w:ascii="仿宋" w:hAnsi="仿宋" w:eastAsia="仿宋" w:cs="仿宋"/>
          <w:b/>
          <w:color w:val="auto"/>
          <w:sz w:val="24"/>
          <w:highlight w:val="none"/>
        </w:rPr>
      </w:pPr>
      <w:bookmarkStart w:id="116" w:name="_Ref467379923"/>
      <w:bookmarkStart w:id="117" w:name="_Ref467379863"/>
      <w:bookmarkStart w:id="118" w:name="_Toc487900358"/>
      <w:bookmarkStart w:id="119" w:name="_Ref467379852"/>
      <w:bookmarkStart w:id="120" w:name="_Toc259093677"/>
      <w:bookmarkStart w:id="121" w:name="_Toc279701248"/>
      <w:bookmarkStart w:id="122" w:name="_Toc774"/>
      <w:bookmarkStart w:id="123" w:name="_Toc3225"/>
      <w:bookmarkStart w:id="124" w:name="_Toc16110"/>
      <w:r>
        <w:rPr>
          <w:rFonts w:hint="eastAsia" w:ascii="仿宋" w:hAnsi="仿宋" w:eastAsia="仿宋" w:cs="仿宋"/>
          <w:b/>
          <w:color w:val="auto"/>
          <w:sz w:val="24"/>
          <w:highlight w:val="none"/>
        </w:rPr>
        <w:t>2.6 技术资料</w:t>
      </w:r>
      <w:bookmarkEnd w:id="116"/>
      <w:bookmarkEnd w:id="117"/>
      <w:bookmarkEnd w:id="118"/>
      <w:bookmarkEnd w:id="119"/>
      <w:bookmarkEnd w:id="120"/>
      <w:bookmarkEnd w:id="121"/>
      <w:r>
        <w:rPr>
          <w:rFonts w:hint="eastAsia" w:ascii="仿宋" w:hAnsi="仿宋" w:eastAsia="仿宋" w:cs="仿宋"/>
          <w:b/>
          <w:color w:val="auto"/>
          <w:sz w:val="24"/>
          <w:highlight w:val="none"/>
        </w:rPr>
        <w:t>和保密义务</w:t>
      </w:r>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25" w:name="_Toc7860"/>
      <w:r>
        <w:rPr>
          <w:rFonts w:hint="eastAsia" w:ascii="仿宋" w:hAnsi="仿宋" w:eastAsia="仿宋" w:cs="仿宋"/>
          <w:b/>
          <w:color w:val="auto"/>
          <w:sz w:val="24"/>
          <w:highlight w:val="none"/>
        </w:rPr>
        <w:t>2.7 质量保证</w:t>
      </w:r>
      <w:bookmarkEnd w:id="12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26" w:name="_Toc17244"/>
      <w:bookmarkStart w:id="127" w:name="_Toc259093681"/>
      <w:bookmarkStart w:id="128" w:name="_Toc279701252"/>
      <w:bookmarkStart w:id="129" w:name="_Toc487900362"/>
      <w:r>
        <w:rPr>
          <w:rFonts w:hint="eastAsia" w:ascii="仿宋" w:hAnsi="仿宋" w:eastAsia="仿宋" w:cs="仿宋"/>
          <w:b/>
          <w:color w:val="auto"/>
          <w:sz w:val="24"/>
          <w:highlight w:val="none"/>
        </w:rPr>
        <w:t>2.8 货物的风险负担</w:t>
      </w:r>
      <w:bookmarkEnd w:id="126"/>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0" w:name="_Toc14055"/>
      <w:r>
        <w:rPr>
          <w:rFonts w:hint="eastAsia" w:ascii="仿宋" w:hAnsi="仿宋" w:eastAsia="仿宋" w:cs="仿宋"/>
          <w:b/>
          <w:color w:val="auto"/>
          <w:sz w:val="24"/>
          <w:highlight w:val="none"/>
        </w:rPr>
        <w:t>2.9 延迟交货</w:t>
      </w:r>
      <w:bookmarkEnd w:id="127"/>
      <w:bookmarkEnd w:id="128"/>
      <w:bookmarkEnd w:id="129"/>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1" w:name="_Toc7502"/>
      <w:bookmarkStart w:id="132" w:name="_Toc279701254"/>
      <w:bookmarkStart w:id="133" w:name="_Ref467378121"/>
      <w:bookmarkStart w:id="134" w:name="_Toc259093683"/>
      <w:bookmarkStart w:id="135" w:name="_Toc487900364"/>
      <w:r>
        <w:rPr>
          <w:rFonts w:hint="eastAsia" w:ascii="仿宋" w:hAnsi="仿宋" w:eastAsia="仿宋" w:cs="仿宋"/>
          <w:b/>
          <w:color w:val="auto"/>
          <w:sz w:val="24"/>
          <w:highlight w:val="none"/>
        </w:rPr>
        <w:t>2.10 合同变更</w:t>
      </w:r>
      <w:bookmarkEnd w:id="13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6" w:name="_Toc279701259"/>
      <w:bookmarkStart w:id="137" w:name="_Toc487900369"/>
      <w:bookmarkStart w:id="138" w:name="_Toc259093688"/>
    </w:p>
    <w:p>
      <w:pPr>
        <w:spacing w:line="560" w:lineRule="exact"/>
        <w:ind w:firstLine="482" w:firstLineChars="200"/>
        <w:outlineLvl w:val="0"/>
        <w:rPr>
          <w:rFonts w:hint="eastAsia" w:ascii="仿宋" w:hAnsi="仿宋" w:eastAsia="仿宋" w:cs="仿宋"/>
          <w:b/>
          <w:color w:val="auto"/>
          <w:sz w:val="24"/>
          <w:highlight w:val="none"/>
        </w:rPr>
      </w:pPr>
      <w:bookmarkStart w:id="139" w:name="_Toc15237"/>
      <w:bookmarkStart w:id="140" w:name="_Toc10366"/>
      <w:bookmarkStart w:id="141" w:name="_Toc22955"/>
      <w:r>
        <w:rPr>
          <w:rFonts w:hint="eastAsia" w:ascii="仿宋" w:hAnsi="仿宋" w:eastAsia="仿宋" w:cs="仿宋"/>
          <w:b/>
          <w:color w:val="auto"/>
          <w:sz w:val="24"/>
          <w:highlight w:val="none"/>
        </w:rPr>
        <w:t>2.11 合同转让</w:t>
      </w:r>
      <w:bookmarkEnd w:id="136"/>
      <w:bookmarkEnd w:id="137"/>
      <w:bookmarkEnd w:id="138"/>
      <w:r>
        <w:rPr>
          <w:rFonts w:hint="eastAsia" w:ascii="仿宋" w:hAnsi="仿宋" w:eastAsia="仿宋" w:cs="仿宋"/>
          <w:b/>
          <w:color w:val="auto"/>
          <w:sz w:val="24"/>
          <w:highlight w:val="none"/>
        </w:rPr>
        <w:t>和分包</w:t>
      </w:r>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2" w:name="_Toc14066"/>
      <w:bookmarkStart w:id="143" w:name="_Toc16508"/>
      <w:bookmarkStart w:id="144" w:name="_Toc13566"/>
      <w:r>
        <w:rPr>
          <w:rFonts w:hint="eastAsia" w:ascii="仿宋" w:hAnsi="仿宋" w:eastAsia="仿宋" w:cs="仿宋"/>
          <w:b/>
          <w:color w:val="auto"/>
          <w:sz w:val="24"/>
          <w:highlight w:val="none"/>
        </w:rPr>
        <w:t>2.12 不可抗力</w:t>
      </w:r>
      <w:bookmarkEnd w:id="142"/>
      <w:bookmarkEnd w:id="143"/>
      <w:bookmarkEnd w:id="14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45" w:name="_Toc689"/>
      <w:bookmarkStart w:id="146" w:name="_Toc259093684"/>
      <w:bookmarkStart w:id="147" w:name="_Toc30676"/>
      <w:bookmarkStart w:id="148" w:name="_Toc487900365"/>
      <w:bookmarkStart w:id="149" w:name="_Toc279701255"/>
      <w:bookmarkStart w:id="150" w:name="_Toc6969"/>
      <w:r>
        <w:rPr>
          <w:rFonts w:hint="eastAsia" w:ascii="仿宋" w:hAnsi="仿宋" w:eastAsia="仿宋" w:cs="仿宋"/>
          <w:b/>
          <w:color w:val="auto"/>
          <w:sz w:val="24"/>
          <w:highlight w:val="none"/>
        </w:rPr>
        <w:t>2.13 税费</w:t>
      </w:r>
      <w:bookmarkEnd w:id="145"/>
      <w:bookmarkEnd w:id="146"/>
      <w:bookmarkEnd w:id="147"/>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1" w:name="_Toc7102"/>
      <w:bookmarkStart w:id="152" w:name="_Toc16959"/>
      <w:bookmarkStart w:id="153" w:name="_Toc8298"/>
      <w:bookmarkStart w:id="154" w:name="_Toc487900368"/>
      <w:bookmarkStart w:id="155" w:name="_Toc259093687"/>
      <w:bookmarkStart w:id="156" w:name="_Toc279701258"/>
      <w:r>
        <w:rPr>
          <w:rFonts w:hint="eastAsia" w:ascii="仿宋" w:hAnsi="仿宋" w:eastAsia="仿宋" w:cs="仿宋"/>
          <w:b/>
          <w:color w:val="auto"/>
          <w:sz w:val="24"/>
          <w:highlight w:val="none"/>
        </w:rPr>
        <w:t>2.14乙方破产</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57" w:name="_Toc6134"/>
      <w:bookmarkStart w:id="158" w:name="_Toc15387"/>
      <w:bookmarkStart w:id="159" w:name="_Toc29333"/>
      <w:r>
        <w:rPr>
          <w:rFonts w:hint="eastAsia" w:ascii="仿宋" w:hAnsi="仿宋" w:eastAsia="仿宋" w:cs="仿宋"/>
          <w:b/>
          <w:color w:val="auto"/>
          <w:sz w:val="24"/>
          <w:highlight w:val="none"/>
        </w:rPr>
        <w:t>2.15 合同中止、终止</w:t>
      </w:r>
      <w:bookmarkEnd w:id="157"/>
      <w:bookmarkEnd w:id="158"/>
      <w:bookmarkEnd w:id="15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60" w:name="_Toc1125"/>
      <w:bookmarkStart w:id="161" w:name="_Toc14563"/>
      <w:bookmarkStart w:id="162" w:name="_Toc6596"/>
      <w:r>
        <w:rPr>
          <w:rFonts w:hint="eastAsia" w:ascii="仿宋" w:hAnsi="仿宋" w:eastAsia="仿宋" w:cs="仿宋"/>
          <w:b/>
          <w:color w:val="auto"/>
          <w:sz w:val="24"/>
          <w:highlight w:val="none"/>
        </w:rPr>
        <w:t>2.16检验和验收</w:t>
      </w:r>
      <w:bookmarkEnd w:id="160"/>
      <w:bookmarkEnd w:id="161"/>
      <w:bookmarkEnd w:id="162"/>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2"/>
    <w:bookmarkEnd w:id="133"/>
    <w:bookmarkEnd w:id="134"/>
    <w:bookmarkEnd w:id="135"/>
    <w:p>
      <w:pPr>
        <w:spacing w:line="560" w:lineRule="exact"/>
        <w:ind w:firstLine="482" w:firstLineChars="200"/>
        <w:outlineLvl w:val="0"/>
        <w:rPr>
          <w:rFonts w:hint="eastAsia" w:ascii="仿宋" w:hAnsi="仿宋" w:eastAsia="仿宋" w:cs="仿宋"/>
          <w:b/>
          <w:color w:val="auto"/>
          <w:sz w:val="24"/>
          <w:highlight w:val="none"/>
        </w:rPr>
      </w:pPr>
      <w:bookmarkStart w:id="163" w:name="_Toc487900371"/>
      <w:bookmarkStart w:id="164" w:name="_Toc279701261"/>
      <w:bookmarkStart w:id="165" w:name="_Toc259093690"/>
      <w:bookmarkStart w:id="166" w:name="_Toc11284"/>
      <w:bookmarkStart w:id="167" w:name="_Toc25182"/>
      <w:bookmarkStart w:id="168" w:name="_Toc19604"/>
      <w:r>
        <w:rPr>
          <w:rFonts w:hint="eastAsia" w:ascii="仿宋" w:hAnsi="仿宋" w:eastAsia="仿宋" w:cs="仿宋"/>
          <w:b/>
          <w:color w:val="auto"/>
          <w:sz w:val="24"/>
          <w:highlight w:val="none"/>
        </w:rPr>
        <w:t>2.17 通知</w:t>
      </w:r>
      <w:bookmarkEnd w:id="163"/>
      <w:bookmarkEnd w:id="164"/>
      <w:bookmarkEnd w:id="165"/>
      <w:r>
        <w:rPr>
          <w:rFonts w:hint="eastAsia" w:ascii="仿宋" w:hAnsi="仿宋" w:eastAsia="仿宋" w:cs="仿宋"/>
          <w:b/>
          <w:color w:val="auto"/>
          <w:sz w:val="24"/>
          <w:highlight w:val="none"/>
        </w:rPr>
        <w:t>和送达</w:t>
      </w:r>
      <w:bookmarkEnd w:id="166"/>
      <w:bookmarkEnd w:id="167"/>
      <w:bookmarkEnd w:id="168"/>
    </w:p>
    <w:p>
      <w:pPr>
        <w:spacing w:line="560" w:lineRule="exact"/>
        <w:ind w:firstLine="480" w:firstLineChars="200"/>
        <w:rPr>
          <w:rFonts w:hint="eastAsia" w:ascii="仿宋" w:hAnsi="仿宋" w:eastAsia="仿宋" w:cs="仿宋"/>
          <w:color w:val="auto"/>
          <w:sz w:val="24"/>
          <w:highlight w:val="none"/>
        </w:rPr>
      </w:pPr>
      <w:bookmarkStart w:id="169" w:name="_Toc6698"/>
      <w:bookmarkStart w:id="170" w:name="_Toc3135"/>
      <w:bookmarkStart w:id="171" w:name="_Toc487900372"/>
      <w:bookmarkStart w:id="172" w:name="_Toc259093691"/>
      <w:bookmarkStart w:id="173"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9"/>
      <w:bookmarkEnd w:id="170"/>
    </w:p>
    <w:p>
      <w:pPr>
        <w:spacing w:line="560" w:lineRule="exact"/>
        <w:ind w:firstLine="480" w:firstLineChars="200"/>
        <w:rPr>
          <w:rFonts w:hint="eastAsia" w:ascii="仿宋" w:hAnsi="仿宋" w:eastAsia="仿宋" w:cs="仿宋"/>
          <w:color w:val="auto"/>
          <w:sz w:val="24"/>
          <w:highlight w:val="none"/>
        </w:rPr>
      </w:pPr>
      <w:bookmarkStart w:id="174" w:name="_Toc23294"/>
      <w:bookmarkStart w:id="175"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4"/>
      <w:bookmarkEnd w:id="175"/>
    </w:p>
    <w:p>
      <w:pPr>
        <w:spacing w:line="560" w:lineRule="exact"/>
        <w:ind w:firstLine="482" w:firstLineChars="200"/>
        <w:outlineLvl w:val="0"/>
        <w:rPr>
          <w:rFonts w:hint="eastAsia" w:ascii="仿宋" w:hAnsi="仿宋" w:eastAsia="仿宋" w:cs="仿宋"/>
          <w:b/>
          <w:color w:val="auto"/>
          <w:sz w:val="24"/>
          <w:highlight w:val="none"/>
        </w:rPr>
      </w:pPr>
      <w:bookmarkStart w:id="176" w:name="_Toc30599"/>
      <w:bookmarkStart w:id="177" w:name="_Toc18540"/>
      <w:bookmarkStart w:id="178" w:name="_Toc4355"/>
      <w:r>
        <w:rPr>
          <w:rFonts w:hint="eastAsia" w:ascii="仿宋" w:hAnsi="仿宋" w:eastAsia="仿宋" w:cs="仿宋"/>
          <w:b/>
          <w:color w:val="auto"/>
          <w:sz w:val="24"/>
          <w:highlight w:val="none"/>
        </w:rPr>
        <w:t>2.18 计量单位</w:t>
      </w:r>
      <w:bookmarkEnd w:id="171"/>
      <w:bookmarkEnd w:id="172"/>
      <w:bookmarkEnd w:id="173"/>
      <w:bookmarkEnd w:id="176"/>
      <w:bookmarkEnd w:id="177"/>
      <w:bookmarkEnd w:id="17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79" w:name="_Toc10330"/>
      <w:bookmarkStart w:id="180" w:name="_Toc279701263"/>
      <w:bookmarkStart w:id="181" w:name="_Toc259093692"/>
      <w:bookmarkStart w:id="182" w:name="_Toc12773"/>
      <w:bookmarkStart w:id="183" w:name="_Toc487900373"/>
      <w:bookmarkStart w:id="184" w:name="_Toc18567"/>
      <w:r>
        <w:rPr>
          <w:rFonts w:hint="eastAsia" w:ascii="仿宋" w:hAnsi="仿宋" w:eastAsia="仿宋" w:cs="仿宋"/>
          <w:b/>
          <w:color w:val="auto"/>
          <w:sz w:val="24"/>
          <w:highlight w:val="none"/>
        </w:rPr>
        <w:t>2.19 合同使用的文字和适用的法律</w:t>
      </w:r>
      <w:bookmarkEnd w:id="179"/>
      <w:bookmarkEnd w:id="180"/>
      <w:bookmarkEnd w:id="181"/>
      <w:bookmarkEnd w:id="182"/>
      <w:bookmarkEnd w:id="183"/>
      <w:bookmarkEnd w:id="18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85" w:name="_Toc19890"/>
      <w:bookmarkStart w:id="186" w:name="_Toc14001"/>
      <w:bookmarkStart w:id="187" w:name="_Toc6885"/>
      <w:r>
        <w:rPr>
          <w:rFonts w:hint="eastAsia" w:ascii="仿宋" w:hAnsi="仿宋" w:eastAsia="仿宋" w:cs="仿宋"/>
          <w:b/>
          <w:color w:val="auto"/>
          <w:sz w:val="24"/>
          <w:highlight w:val="none"/>
        </w:rPr>
        <w:t>2.20 合同份数</w:t>
      </w:r>
      <w:bookmarkEnd w:id="185"/>
      <w:bookmarkEnd w:id="186"/>
      <w:bookmarkEnd w:id="18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w:t>
      </w:r>
      <w:r>
        <w:rPr>
          <w:rFonts w:hint="eastAsia" w:ascii="仿宋" w:hAnsi="仿宋" w:eastAsia="仿宋" w:cs="仿宋"/>
          <w:color w:val="auto"/>
          <w:sz w:val="24"/>
          <w:highlight w:val="none"/>
          <w:lang w:val="en-US" w:eastAsia="zh-CN"/>
        </w:rPr>
        <w:t>下浮率</w:t>
      </w: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en-US" w:eastAsia="zh-CN"/>
        </w:rPr>
        <w:t>高</w:t>
      </w:r>
      <w:r>
        <w:rPr>
          <w:rFonts w:hint="eastAsia" w:ascii="仿宋" w:hAnsi="仿宋" w:eastAsia="仿宋" w:cs="仿宋"/>
          <w:color w:val="auto"/>
          <w:sz w:val="24"/>
          <w:highlight w:val="none"/>
        </w:rPr>
        <w:t>到</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rPr>
        <w:t>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b/>
          <w:sz w:val="24"/>
          <w:szCs w:val="24"/>
        </w:rPr>
        <w:t>2</w:t>
      </w:r>
      <w:r>
        <w:rPr>
          <w:rFonts w:hint="eastAsia" w:ascii="仿宋" w:hAnsi="仿宋" w:eastAsia="仿宋" w:cs="仿宋"/>
          <w:b/>
          <w:sz w:val="24"/>
          <w:szCs w:val="24"/>
          <w:lang w:eastAsia="zh-CN"/>
        </w:rPr>
        <w:t>、</w:t>
      </w:r>
      <w:r>
        <w:rPr>
          <w:rFonts w:hint="eastAsia" w:ascii="仿宋" w:hAnsi="仿宋" w:eastAsia="仿宋" w:cs="仿宋"/>
          <w:b/>
          <w:sz w:val="24"/>
          <w:szCs w:val="24"/>
        </w:rPr>
        <w:t>评分标准：</w:t>
      </w:r>
      <w:r>
        <w:rPr>
          <w:rFonts w:hint="eastAsia" w:ascii="仿宋" w:hAnsi="仿宋" w:eastAsia="仿宋" w:cs="仿宋"/>
          <w:sz w:val="24"/>
          <w:szCs w:val="24"/>
        </w:rPr>
        <w:t>共100分，</w:t>
      </w:r>
      <w:r>
        <w:rPr>
          <w:rFonts w:hint="eastAsia" w:ascii="仿宋" w:hAnsi="仿宋" w:eastAsia="仿宋" w:cs="仿宋"/>
          <w:sz w:val="24"/>
          <w:szCs w:val="24"/>
          <w:lang w:val="en-US" w:eastAsia="zh-CN"/>
        </w:rPr>
        <w:t>01标、02标</w:t>
      </w:r>
      <w:r>
        <w:rPr>
          <w:rFonts w:hint="eastAsia" w:ascii="仿宋" w:hAnsi="仿宋" w:eastAsia="仿宋" w:cs="仿宋"/>
          <w:sz w:val="24"/>
          <w:szCs w:val="24"/>
        </w:rPr>
        <w:t>其中商务技术分70分，价格分30分。评分依下述所列为评标打分依据，分值如下（计算分值时，按其算术平均值保留小数2位）。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b/>
          <w:bCs/>
          <w:iCs/>
          <w:sz w:val="24"/>
          <w:szCs w:val="24"/>
        </w:rPr>
        <w:t>2.1</w:t>
      </w:r>
      <w:r>
        <w:rPr>
          <w:rFonts w:hint="eastAsia" w:ascii="仿宋" w:hAnsi="仿宋" w:eastAsia="仿宋" w:cs="仿宋"/>
          <w:b/>
          <w:bCs/>
          <w:iCs/>
          <w:sz w:val="24"/>
          <w:szCs w:val="24"/>
          <w:lang w:val="en-US" w:eastAsia="zh-CN"/>
        </w:rPr>
        <w:t xml:space="preserve">  </w:t>
      </w:r>
      <w:r>
        <w:rPr>
          <w:rFonts w:hint="eastAsia" w:ascii="仿宋" w:hAnsi="仿宋" w:eastAsia="仿宋" w:cs="仿宋"/>
          <w:b/>
          <w:bCs/>
          <w:iCs/>
          <w:sz w:val="24"/>
          <w:szCs w:val="24"/>
        </w:rPr>
        <w:t>01标、02标商务技术分（70分）</w:t>
      </w:r>
    </w:p>
    <w:tbl>
      <w:tblPr>
        <w:tblStyle w:val="64"/>
        <w:tblW w:w="87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986"/>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05" w:type="dxa"/>
            <w:noWrap w:val="0"/>
            <w:vAlign w:val="center"/>
          </w:tcPr>
          <w:p>
            <w:pPr>
              <w:spacing w:line="400" w:lineRule="exact"/>
              <w:jc w:val="center"/>
              <w:rPr>
                <w:rFonts w:hint="eastAsia" w:ascii="仿宋" w:hAnsi="仿宋" w:eastAsia="仿宋" w:cs="仿宋"/>
                <w:b/>
              </w:rPr>
            </w:pPr>
            <w:r>
              <w:rPr>
                <w:rFonts w:hint="eastAsia" w:ascii="仿宋" w:hAnsi="仿宋" w:eastAsia="仿宋" w:cs="仿宋"/>
                <w:b/>
                <w:szCs w:val="21"/>
              </w:rPr>
              <w:t>评分内容</w:t>
            </w:r>
          </w:p>
        </w:tc>
        <w:tc>
          <w:tcPr>
            <w:tcW w:w="6986" w:type="dxa"/>
            <w:noWrap w:val="0"/>
            <w:vAlign w:val="center"/>
          </w:tcPr>
          <w:p>
            <w:pPr>
              <w:spacing w:line="400" w:lineRule="exact"/>
              <w:ind w:left="-115" w:leftChars="-55" w:right="-115" w:rightChars="-55"/>
              <w:jc w:val="center"/>
              <w:rPr>
                <w:rFonts w:hint="eastAsia" w:ascii="仿宋" w:hAnsi="仿宋" w:eastAsia="仿宋" w:cs="仿宋"/>
                <w:b/>
              </w:rPr>
            </w:pPr>
            <w:r>
              <w:rPr>
                <w:rFonts w:hint="eastAsia" w:ascii="仿宋" w:hAnsi="仿宋" w:eastAsia="仿宋" w:cs="仿宋"/>
                <w:b/>
                <w:szCs w:val="21"/>
              </w:rPr>
              <w:t>评 分 说 明</w:t>
            </w:r>
          </w:p>
        </w:tc>
        <w:tc>
          <w:tcPr>
            <w:tcW w:w="662" w:type="dxa"/>
            <w:noWrap w:val="0"/>
            <w:vAlign w:val="center"/>
          </w:tcPr>
          <w:p>
            <w:pPr>
              <w:spacing w:line="400" w:lineRule="exact"/>
              <w:ind w:left="-115" w:leftChars="-55" w:right="-115" w:rightChars="-55"/>
              <w:jc w:val="center"/>
              <w:rPr>
                <w:rFonts w:hint="eastAsia" w:ascii="仿宋" w:hAnsi="仿宋" w:eastAsia="仿宋" w:cs="仿宋"/>
                <w:b/>
              </w:rPr>
            </w:pPr>
            <w:r>
              <w:rPr>
                <w:rFonts w:hint="eastAsia" w:ascii="仿宋" w:hAnsi="仿宋" w:eastAsia="仿宋" w:cs="仿宋"/>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主要技术参数响应性</w:t>
            </w:r>
          </w:p>
        </w:tc>
        <w:tc>
          <w:tcPr>
            <w:tcW w:w="6986" w:type="dxa"/>
            <w:noWrap w:val="0"/>
            <w:vAlign w:val="center"/>
          </w:tcPr>
          <w:p>
            <w:pPr>
              <w:spacing w:line="400" w:lineRule="exact"/>
              <w:ind w:right="71" w:rightChars="34"/>
              <w:rPr>
                <w:rFonts w:hint="eastAsia" w:ascii="仿宋" w:hAnsi="仿宋" w:eastAsia="仿宋" w:cs="仿宋"/>
                <w:sz w:val="24"/>
                <w:szCs w:val="24"/>
              </w:rPr>
            </w:pPr>
            <w:r>
              <w:rPr>
                <w:rFonts w:hint="eastAsia" w:ascii="仿宋" w:hAnsi="仿宋" w:eastAsia="仿宋" w:cs="仿宋"/>
                <w:sz w:val="24"/>
                <w:szCs w:val="24"/>
              </w:rPr>
              <w:t>满足招标文件要求的得</w:t>
            </w:r>
            <w:r>
              <w:rPr>
                <w:rFonts w:hint="eastAsia" w:ascii="仿宋" w:hAnsi="仿宋" w:eastAsia="仿宋" w:cs="仿宋"/>
                <w:sz w:val="24"/>
                <w:szCs w:val="24"/>
                <w:lang w:val="en-US" w:eastAsia="zh-CN"/>
              </w:rPr>
              <w:t>12</w:t>
            </w:r>
            <w:r>
              <w:rPr>
                <w:rFonts w:hint="eastAsia" w:ascii="仿宋" w:hAnsi="仿宋" w:eastAsia="仿宋" w:cs="仿宋"/>
                <w:sz w:val="24"/>
                <w:szCs w:val="24"/>
              </w:rPr>
              <w:t>分。</w:t>
            </w:r>
          </w:p>
          <w:p>
            <w:pPr>
              <w:spacing w:line="400" w:lineRule="exact"/>
              <w:ind w:right="71" w:rightChars="34"/>
              <w:rPr>
                <w:rFonts w:hint="eastAsia" w:ascii="仿宋" w:hAnsi="仿宋" w:eastAsia="仿宋" w:cs="仿宋"/>
                <w:sz w:val="24"/>
                <w:szCs w:val="24"/>
              </w:rPr>
            </w:pPr>
            <w:r>
              <w:rPr>
                <w:rFonts w:hint="eastAsia" w:ascii="仿宋" w:hAnsi="仿宋" w:eastAsia="仿宋" w:cs="仿宋"/>
                <w:sz w:val="24"/>
                <w:szCs w:val="24"/>
                <w:highlight w:val="none"/>
                <w:lang w:val="en-US" w:eastAsia="zh-CN"/>
              </w:rPr>
              <w:t>评</w:t>
            </w:r>
            <w:r>
              <w:rPr>
                <w:rFonts w:hint="eastAsia" w:ascii="仿宋" w:hAnsi="仿宋" w:eastAsia="仿宋" w:cs="仿宋"/>
                <w:sz w:val="24"/>
                <w:szCs w:val="24"/>
              </w:rPr>
              <w:t>标委员会根据供应商的针对招标文件中提出的技术规格及参数响应情况进行打分，每负偏离一项扣1分，扣完为止。</w:t>
            </w:r>
          </w:p>
        </w:tc>
        <w:tc>
          <w:tcPr>
            <w:tcW w:w="662" w:type="dxa"/>
            <w:noWrap w:val="0"/>
            <w:vAlign w:val="center"/>
          </w:tcPr>
          <w:p>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公司实力       </w:t>
            </w:r>
          </w:p>
        </w:tc>
        <w:tc>
          <w:tcPr>
            <w:tcW w:w="6986" w:type="dxa"/>
            <w:noWrap w:val="0"/>
            <w:vAlign w:val="center"/>
          </w:tcPr>
          <w:p>
            <w:pPr>
              <w:spacing w:line="400" w:lineRule="exact"/>
              <w:ind w:right="71" w:rightChars="34"/>
              <w:rPr>
                <w:rFonts w:hint="eastAsia" w:ascii="仿宋" w:hAnsi="仿宋" w:eastAsia="仿宋" w:cs="仿宋"/>
                <w:sz w:val="24"/>
                <w:szCs w:val="24"/>
              </w:rPr>
            </w:pPr>
            <w:r>
              <w:rPr>
                <w:rFonts w:hint="eastAsia" w:ascii="仿宋" w:hAnsi="仿宋" w:eastAsia="仿宋" w:cs="仿宋"/>
                <w:sz w:val="24"/>
                <w:szCs w:val="24"/>
              </w:rPr>
              <w:t>根据投标人针对本项目组建的项目团队人员情况</w:t>
            </w:r>
            <w:r>
              <w:rPr>
                <w:rFonts w:hint="eastAsia" w:ascii="仿宋" w:hAnsi="仿宋" w:eastAsia="仿宋" w:cs="仿宋"/>
                <w:sz w:val="24"/>
                <w:szCs w:val="24"/>
                <w:lang w:eastAsia="zh-CN"/>
              </w:rPr>
              <w:t>、企业</w:t>
            </w:r>
            <w:r>
              <w:rPr>
                <w:rFonts w:hint="eastAsia" w:ascii="仿宋" w:hAnsi="仿宋" w:eastAsia="仿宋" w:cs="仿宋"/>
                <w:sz w:val="24"/>
                <w:szCs w:val="24"/>
              </w:rPr>
              <w:t>信誉度进行打分，包括项目负责人、拣货验货人员、专业配送员和售后服务人员等的配备情况，0-</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p>
            <w:pPr>
              <w:spacing w:line="400" w:lineRule="exact"/>
              <w:ind w:right="71" w:rightChars="34"/>
              <w:rPr>
                <w:rFonts w:hint="eastAsia" w:ascii="仿宋" w:hAnsi="仿宋" w:eastAsia="仿宋" w:cs="仿宋"/>
                <w:color w:val="auto"/>
                <w:sz w:val="24"/>
                <w:szCs w:val="24"/>
              </w:rPr>
            </w:pPr>
            <w:r>
              <w:rPr>
                <w:rFonts w:hint="eastAsia" w:ascii="仿宋" w:hAnsi="仿宋" w:eastAsia="仿宋" w:cs="仿宋"/>
                <w:b/>
                <w:bCs/>
                <w:sz w:val="24"/>
                <w:szCs w:val="24"/>
                <w:lang w:val="en-US" w:eastAsia="zh-CN"/>
              </w:rPr>
              <w:t>注：提供团队人员名单、提供名单中人员社保缴纳材料复印件或者劳动聘用合同，</w:t>
            </w:r>
            <w:r>
              <w:rPr>
                <w:rFonts w:hint="eastAsia" w:ascii="仿宋" w:hAnsi="仿宋" w:eastAsia="仿宋" w:cs="仿宋"/>
                <w:b/>
                <w:bCs/>
                <w:sz w:val="24"/>
                <w:szCs w:val="24"/>
                <w:highlight w:val="none"/>
                <w:lang w:val="en-US" w:eastAsia="zh-CN"/>
              </w:rPr>
              <w:t>企业荣誉等</w:t>
            </w:r>
            <w:r>
              <w:rPr>
                <w:rFonts w:hint="eastAsia" w:ascii="仿宋" w:hAnsi="仿宋" w:eastAsia="仿宋" w:cs="仿宋"/>
                <w:b/>
                <w:bCs/>
                <w:sz w:val="24"/>
                <w:szCs w:val="24"/>
                <w:lang w:val="en-US" w:eastAsia="zh-CN"/>
              </w:rPr>
              <w:t>，不提供不得分。</w:t>
            </w:r>
          </w:p>
        </w:tc>
        <w:tc>
          <w:tcPr>
            <w:tcW w:w="662" w:type="dxa"/>
            <w:noWrap w:val="0"/>
            <w:vAlign w:val="center"/>
          </w:tcPr>
          <w:p>
            <w:pPr>
              <w:spacing w:line="400" w:lineRule="exact"/>
              <w:ind w:left="-115" w:leftChars="-55" w:right="-115" w:rightChars="-55"/>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样品</w:t>
            </w:r>
          </w:p>
        </w:tc>
        <w:tc>
          <w:tcPr>
            <w:tcW w:w="6986" w:type="dxa"/>
            <w:noWrap w:val="0"/>
            <w:vAlign w:val="center"/>
          </w:tcPr>
          <w:p>
            <w:pPr>
              <w:spacing w:line="400" w:lineRule="exact"/>
              <w:ind w:right="71" w:rightChars="34"/>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根据产品品牌、组合品种及数量、单个克重量、</w:t>
            </w:r>
            <w:r>
              <w:rPr>
                <w:rFonts w:hint="eastAsia" w:ascii="仿宋" w:hAnsi="仿宋" w:eastAsia="仿宋" w:cs="仿宋"/>
                <w:color w:val="000000"/>
                <w:sz w:val="24"/>
                <w:szCs w:val="24"/>
                <w:highlight w:val="none"/>
                <w:lang w:eastAsia="zh-CN"/>
              </w:rPr>
              <w:t>外观</w:t>
            </w:r>
            <w:r>
              <w:rPr>
                <w:rFonts w:hint="eastAsia" w:ascii="仿宋" w:hAnsi="仿宋" w:eastAsia="仿宋" w:cs="仿宋"/>
                <w:color w:val="000000"/>
                <w:sz w:val="24"/>
                <w:szCs w:val="24"/>
                <w:highlight w:val="none"/>
              </w:rPr>
              <w:t>包装</w:t>
            </w:r>
            <w:r>
              <w:rPr>
                <w:rFonts w:hint="eastAsia" w:ascii="仿宋" w:hAnsi="仿宋" w:eastAsia="仿宋" w:cs="仿宋"/>
                <w:color w:val="000000"/>
                <w:sz w:val="24"/>
                <w:szCs w:val="24"/>
                <w:highlight w:val="none"/>
                <w:lang w:eastAsia="zh-CN"/>
              </w:rPr>
              <w:t>、产品质地</w:t>
            </w:r>
            <w:r>
              <w:rPr>
                <w:rFonts w:hint="eastAsia" w:ascii="仿宋" w:hAnsi="仿宋" w:eastAsia="仿宋" w:cs="仿宋"/>
                <w:color w:val="000000"/>
                <w:sz w:val="24"/>
                <w:szCs w:val="24"/>
                <w:highlight w:val="none"/>
              </w:rPr>
              <w:t>等情况</w:t>
            </w:r>
            <w:r>
              <w:rPr>
                <w:rFonts w:hint="eastAsia" w:ascii="仿宋" w:hAnsi="仿宋" w:eastAsia="仿宋" w:cs="仿宋"/>
                <w:color w:val="000000"/>
                <w:sz w:val="24"/>
                <w:szCs w:val="24"/>
                <w:highlight w:val="none"/>
                <w:lang w:val="en-US" w:eastAsia="zh-CN"/>
              </w:rPr>
              <w:t>打分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0-10分，</w:t>
            </w:r>
            <w:r>
              <w:rPr>
                <w:rFonts w:hint="eastAsia" w:ascii="仿宋" w:hAnsi="仿宋" w:eastAsia="仿宋" w:cs="仿宋"/>
                <w:sz w:val="24"/>
                <w:szCs w:val="24"/>
                <w:highlight w:val="none"/>
              </w:rPr>
              <w:t>不提供不得分。</w:t>
            </w:r>
          </w:p>
        </w:tc>
        <w:tc>
          <w:tcPr>
            <w:tcW w:w="662" w:type="dxa"/>
            <w:noWrap w:val="0"/>
            <w:vAlign w:val="center"/>
          </w:tcPr>
          <w:p>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105" w:type="dxa"/>
            <w:noWrap w:val="0"/>
            <w:vAlign w:val="center"/>
          </w:tcPr>
          <w:p>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供应能力</w:t>
            </w:r>
          </w:p>
        </w:tc>
        <w:tc>
          <w:tcPr>
            <w:tcW w:w="6986" w:type="dxa"/>
            <w:noWrap w:val="0"/>
            <w:vAlign w:val="center"/>
          </w:tcPr>
          <w:p>
            <w:pPr>
              <w:spacing w:line="400" w:lineRule="exact"/>
              <w:ind w:right="71" w:rightChars="34"/>
              <w:rPr>
                <w:rFonts w:hint="eastAsia" w:ascii="仿宋" w:hAnsi="仿宋" w:eastAsia="仿宋" w:cs="仿宋"/>
                <w:highlight w:val="none"/>
                <w:lang w:val="en-US" w:eastAsia="zh-CN"/>
              </w:rPr>
            </w:pPr>
            <w:r>
              <w:rPr>
                <w:rFonts w:hint="eastAsia" w:ascii="仿宋_GB2312" w:hAnsi="仿宋_GB2312" w:eastAsia="仿宋_GB2312" w:cs="仿宋_GB2312"/>
                <w:sz w:val="24"/>
                <w:szCs w:val="24"/>
                <w:highlight w:val="none"/>
                <w:lang w:eastAsia="zh-CN"/>
              </w:rPr>
              <w:t>根据</w:t>
            </w:r>
            <w:r>
              <w:rPr>
                <w:rFonts w:hint="eastAsia" w:ascii="仿宋" w:hAnsi="仿宋" w:eastAsia="仿宋" w:cs="仿宋"/>
                <w:color w:val="auto"/>
                <w:sz w:val="24"/>
                <w:szCs w:val="24"/>
                <w:highlight w:val="none"/>
              </w:rPr>
              <w:t>投标单位</w:t>
            </w:r>
            <w:r>
              <w:rPr>
                <w:rFonts w:hint="eastAsia" w:ascii="仿宋_GB2312" w:hAnsi="仿宋_GB2312" w:eastAsia="仿宋_GB2312" w:cs="仿宋_GB2312"/>
                <w:sz w:val="24"/>
                <w:szCs w:val="24"/>
                <w:highlight w:val="none"/>
                <w:lang w:eastAsia="zh-CN"/>
              </w:rPr>
              <w:t>针对所投项目类别</w:t>
            </w:r>
            <w:r>
              <w:rPr>
                <w:rFonts w:hint="eastAsia" w:ascii="仿宋_GB2312" w:hAnsi="仿宋_GB2312" w:eastAsia="仿宋_GB2312" w:cs="仿宋_GB2312"/>
                <w:kern w:val="0"/>
                <w:sz w:val="24"/>
                <w:szCs w:val="24"/>
                <w:highlight w:val="none"/>
                <w:lang w:eastAsia="zh-CN"/>
              </w:rPr>
              <w:t>拟供应产品提</w:t>
            </w:r>
            <w:r>
              <w:rPr>
                <w:rFonts w:hint="eastAsia" w:ascii="仿宋_GB2312" w:hAnsi="仿宋_GB2312" w:eastAsia="仿宋_GB2312" w:cs="仿宋_GB2312"/>
                <w:color w:val="auto"/>
                <w:kern w:val="0"/>
                <w:sz w:val="24"/>
                <w:szCs w:val="24"/>
                <w:highlight w:val="none"/>
                <w:lang w:eastAsia="zh-CN"/>
              </w:rPr>
              <w:t>供的图文介绍、电子卖场上架情况等综合评</w:t>
            </w:r>
            <w:r>
              <w:rPr>
                <w:rFonts w:hint="eastAsia" w:ascii="仿宋_GB2312" w:hAnsi="仿宋_GB2312" w:eastAsia="仿宋_GB2312" w:cs="仿宋_GB2312"/>
                <w:kern w:val="0"/>
                <w:sz w:val="24"/>
                <w:szCs w:val="24"/>
                <w:highlight w:val="none"/>
                <w:lang w:eastAsia="zh-CN"/>
              </w:rPr>
              <w:t>价</w:t>
            </w:r>
            <w:r>
              <w:rPr>
                <w:rFonts w:hint="eastAsia" w:ascii="仿宋_GB2312" w:hAnsi="仿宋_GB2312" w:eastAsia="仿宋_GB2312" w:cs="仿宋_GB2312"/>
                <w:kern w:val="0"/>
                <w:sz w:val="24"/>
                <w:szCs w:val="24"/>
                <w:highlight w:val="none"/>
                <w:lang w:val="en-US" w:eastAsia="zh-CN"/>
              </w:rPr>
              <w:t>打分</w:t>
            </w:r>
            <w:r>
              <w:rPr>
                <w:rFonts w:hint="eastAsia" w:ascii="仿宋_GB2312" w:hAnsi="仿宋_GB2312" w:eastAsia="仿宋_GB2312" w:cs="仿宋_GB2312"/>
                <w:sz w:val="24"/>
                <w:szCs w:val="24"/>
                <w:highlight w:val="none"/>
                <w:lang w:eastAsia="zh-CN"/>
              </w:rPr>
              <w:t>，</w:t>
            </w:r>
            <w:r>
              <w:rPr>
                <w:rFonts w:hint="eastAsia" w:ascii="仿宋" w:hAnsi="仿宋" w:eastAsia="仿宋" w:cs="仿宋"/>
                <w:sz w:val="24"/>
                <w:szCs w:val="24"/>
                <w:highlight w:val="none"/>
                <w:lang w:val="en-US" w:eastAsia="zh-CN"/>
              </w:rPr>
              <w:t>0-10分，</w:t>
            </w:r>
            <w:r>
              <w:rPr>
                <w:rFonts w:hint="eastAsia" w:ascii="仿宋" w:hAnsi="仿宋" w:eastAsia="仿宋" w:cs="仿宋"/>
                <w:sz w:val="24"/>
                <w:szCs w:val="24"/>
                <w:highlight w:val="none"/>
              </w:rPr>
              <w:t>不提供不得分。</w:t>
            </w:r>
          </w:p>
        </w:tc>
        <w:tc>
          <w:tcPr>
            <w:tcW w:w="662" w:type="dxa"/>
            <w:noWrap w:val="0"/>
            <w:vAlign w:val="center"/>
          </w:tcPr>
          <w:p>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1105" w:type="dxa"/>
            <w:noWrap w:val="0"/>
            <w:vAlign w:val="center"/>
          </w:tcPr>
          <w:p>
            <w:pPr>
              <w:spacing w:line="40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供货时间</w:t>
            </w:r>
          </w:p>
        </w:tc>
        <w:tc>
          <w:tcPr>
            <w:tcW w:w="6986" w:type="dxa"/>
            <w:noWrap w:val="0"/>
            <w:vAlign w:val="center"/>
          </w:tcPr>
          <w:p>
            <w:pPr>
              <w:spacing w:line="400" w:lineRule="exact"/>
              <w:ind w:right="71" w:rightChars="34"/>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根据投标单位承诺供货时间（基本要求承诺：1、常规物资供货时间要求下单后小于等于24小时内送货到医院；2、紧急物资供货时间要求下单后3小时内送货到医院指定地点；）投标人书面承诺满足送货要求的得2分。</w:t>
            </w:r>
            <w:r>
              <w:rPr>
                <w:rFonts w:hint="eastAsia" w:ascii="仿宋" w:hAnsi="仿宋" w:eastAsia="仿宋" w:cs="仿宋"/>
                <w:b/>
                <w:bCs/>
                <w:sz w:val="24"/>
                <w:szCs w:val="24"/>
                <w:lang w:val="en-US" w:eastAsia="zh-CN"/>
              </w:rPr>
              <w:t>（需提供承诺函</w:t>
            </w:r>
            <w:r>
              <w:rPr>
                <w:rFonts w:hint="eastAsia" w:ascii="仿宋" w:hAnsi="仿宋" w:eastAsia="仿宋" w:cs="仿宋"/>
                <w:b/>
                <w:bCs/>
                <w:color w:val="auto"/>
                <w:sz w:val="24"/>
                <w:szCs w:val="24"/>
                <w:highlight w:val="none"/>
                <w:lang w:eastAsia="zh-CN"/>
              </w:rPr>
              <w:t>，否则不</w:t>
            </w:r>
            <w:r>
              <w:rPr>
                <w:rFonts w:hint="eastAsia" w:ascii="仿宋" w:hAnsi="仿宋" w:eastAsia="仿宋" w:cs="仿宋"/>
                <w:b/>
                <w:bCs/>
                <w:color w:val="auto"/>
                <w:sz w:val="24"/>
                <w:szCs w:val="24"/>
                <w:highlight w:val="none"/>
                <w:lang w:val="en-US" w:eastAsia="zh-CN"/>
              </w:rPr>
              <w:t>得分</w:t>
            </w:r>
            <w:r>
              <w:rPr>
                <w:rFonts w:hint="eastAsia" w:ascii="仿宋" w:hAnsi="仿宋" w:eastAsia="仿宋" w:cs="仿宋"/>
                <w:b/>
                <w:bCs/>
                <w:sz w:val="24"/>
                <w:szCs w:val="24"/>
                <w:lang w:val="en-US" w:eastAsia="zh-CN"/>
              </w:rPr>
              <w:t>）</w:t>
            </w:r>
          </w:p>
          <w:p>
            <w:pPr>
              <w:spacing w:line="400" w:lineRule="exact"/>
              <w:ind w:right="71" w:rightChars="34"/>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rPr>
              <w:t>2、在满足1的基础上，有详细供货时间方案，明确列明供货次数方案</w:t>
            </w:r>
            <w:r>
              <w:rPr>
                <w:rFonts w:hint="eastAsia" w:ascii="仿宋" w:hAnsi="仿宋" w:eastAsia="仿宋" w:cs="仿宋"/>
                <w:sz w:val="24"/>
                <w:szCs w:val="24"/>
                <w:highlight w:val="none"/>
                <w:lang w:val="en-US" w:eastAsia="zh-CN"/>
              </w:rPr>
              <w:t>等打分</w:t>
            </w:r>
            <w:r>
              <w:rPr>
                <w:rFonts w:hint="eastAsia" w:ascii="仿宋" w:hAnsi="仿宋" w:eastAsia="仿宋" w:cs="仿宋"/>
                <w:sz w:val="24"/>
                <w:szCs w:val="24"/>
                <w:lang w:val="en-US" w:eastAsia="zh-CN"/>
              </w:rPr>
              <w:t>，0-6分，不提供不得分。</w:t>
            </w:r>
          </w:p>
        </w:tc>
        <w:tc>
          <w:tcPr>
            <w:tcW w:w="662" w:type="dxa"/>
            <w:noWrap w:val="0"/>
            <w:vAlign w:val="center"/>
          </w:tcPr>
          <w:p>
            <w:pPr>
              <w:spacing w:line="400" w:lineRule="exact"/>
              <w:ind w:left="-115" w:leftChars="-55" w:right="-115" w:rightChars="-55"/>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05" w:type="dxa"/>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bCs/>
                <w:color w:val="000000"/>
                <w:sz w:val="24"/>
                <w:lang w:val="en-US" w:eastAsia="zh-CN"/>
              </w:rPr>
              <w:t>仓储及运输和人员配置</w:t>
            </w:r>
          </w:p>
        </w:tc>
        <w:tc>
          <w:tcPr>
            <w:tcW w:w="6986" w:type="dxa"/>
            <w:noWrap w:val="0"/>
            <w:vAlign w:val="center"/>
          </w:tcPr>
          <w:p>
            <w:pPr>
              <w:numPr>
                <w:ilvl w:val="0"/>
                <w:numId w:val="3"/>
              </w:numPr>
              <w:spacing w:line="400" w:lineRule="exact"/>
              <w:ind w:left="71" w:leftChars="34" w:right="71" w:rightChars="34" w:firstLine="1"/>
              <w:rPr>
                <w:rFonts w:hint="eastAsia" w:ascii="仿宋" w:hAnsi="仿宋" w:eastAsia="仿宋" w:cs="仿宋"/>
                <w:bCs/>
                <w:color w:val="000000"/>
                <w:sz w:val="24"/>
                <w:highlight w:val="none"/>
                <w:lang w:val="en-US" w:eastAsia="zh-CN"/>
              </w:rPr>
            </w:pPr>
            <w:r>
              <w:rPr>
                <w:rFonts w:hint="eastAsia" w:ascii="仿宋" w:hAnsi="仿宋" w:eastAsia="仿宋" w:cs="仿宋"/>
                <w:bCs/>
                <w:color w:val="000000"/>
                <w:sz w:val="24"/>
                <w:highlight w:val="none"/>
              </w:rPr>
              <w:t>投标人具有独立的仓储场所或仓库的</w:t>
            </w:r>
            <w:r>
              <w:rPr>
                <w:rFonts w:hint="eastAsia" w:ascii="仿宋" w:hAnsi="仿宋" w:eastAsia="仿宋" w:cs="仿宋"/>
                <w:bCs/>
                <w:color w:val="000000"/>
                <w:sz w:val="24"/>
                <w:highlight w:val="none"/>
                <w:lang w:val="en-US" w:eastAsia="zh-CN"/>
              </w:rPr>
              <w:t>，需提供仓储场所图片，0-3分，不提供不得分。</w:t>
            </w:r>
            <w:r>
              <w:rPr>
                <w:rFonts w:hint="eastAsia" w:ascii="仿宋" w:hAnsi="仿宋" w:eastAsia="仿宋" w:cs="仿宋"/>
                <w:b/>
                <w:bCs/>
                <w:color w:val="auto"/>
                <w:sz w:val="24"/>
                <w:szCs w:val="24"/>
                <w:highlight w:val="none"/>
                <w:lang w:eastAsia="zh-CN"/>
              </w:rPr>
              <w:t>（需提供产权</w:t>
            </w:r>
            <w:r>
              <w:rPr>
                <w:rFonts w:hint="eastAsia" w:ascii="仿宋" w:hAnsi="仿宋" w:eastAsia="仿宋" w:cs="仿宋"/>
                <w:b/>
                <w:bCs/>
                <w:color w:val="auto"/>
                <w:sz w:val="24"/>
                <w:szCs w:val="24"/>
                <w:highlight w:val="none"/>
                <w:lang w:val="en-US" w:eastAsia="zh-CN"/>
              </w:rPr>
              <w:t>证明</w:t>
            </w:r>
            <w:r>
              <w:rPr>
                <w:rFonts w:hint="eastAsia" w:ascii="仿宋" w:hAnsi="仿宋" w:eastAsia="仿宋" w:cs="仿宋"/>
                <w:b/>
                <w:bCs/>
                <w:color w:val="auto"/>
                <w:sz w:val="24"/>
                <w:szCs w:val="24"/>
                <w:highlight w:val="none"/>
                <w:lang w:eastAsia="zh-CN"/>
              </w:rPr>
              <w:t>或者有效期内的租赁合同</w:t>
            </w:r>
            <w:r>
              <w:rPr>
                <w:rFonts w:hint="eastAsia" w:ascii="仿宋" w:hAnsi="仿宋" w:eastAsia="仿宋" w:cs="仿宋"/>
                <w:b/>
                <w:bCs/>
                <w:color w:val="auto"/>
                <w:sz w:val="24"/>
                <w:szCs w:val="24"/>
                <w:highlight w:val="none"/>
                <w:lang w:val="en-US" w:eastAsia="zh-CN"/>
              </w:rPr>
              <w:t>加盖公章</w:t>
            </w:r>
            <w:r>
              <w:rPr>
                <w:rFonts w:hint="eastAsia" w:ascii="仿宋" w:hAnsi="仿宋" w:eastAsia="仿宋" w:cs="仿宋"/>
                <w:b/>
                <w:bCs/>
                <w:color w:val="auto"/>
                <w:sz w:val="24"/>
                <w:szCs w:val="24"/>
                <w:highlight w:val="none"/>
                <w:lang w:eastAsia="zh-CN"/>
              </w:rPr>
              <w:t>）</w:t>
            </w:r>
            <w:r>
              <w:rPr>
                <w:rFonts w:hint="eastAsia" w:ascii="仿宋" w:hAnsi="仿宋" w:eastAsia="仿宋" w:cs="仿宋"/>
                <w:bCs/>
                <w:color w:val="000000"/>
                <w:sz w:val="24"/>
                <w:highlight w:val="none"/>
                <w:lang w:val="en-US" w:eastAsia="zh-CN"/>
              </w:rPr>
              <w:t>；</w:t>
            </w:r>
          </w:p>
          <w:p>
            <w:pPr>
              <w:numPr>
                <w:ilvl w:val="0"/>
                <w:numId w:val="3"/>
              </w:numPr>
              <w:spacing w:line="400" w:lineRule="exact"/>
              <w:ind w:left="71" w:leftChars="34" w:right="71" w:rightChars="34" w:firstLine="1" w:firstLineChars="0"/>
              <w:rPr>
                <w:rFonts w:hint="eastAsia" w:ascii="仿宋" w:hAnsi="仿宋" w:eastAsia="仿宋" w:cs="仿宋"/>
                <w:sz w:val="24"/>
                <w:szCs w:val="24"/>
                <w:highlight w:val="none"/>
                <w:lang w:val="en-US" w:eastAsia="zh-CN"/>
              </w:rPr>
            </w:pPr>
            <w:r>
              <w:rPr>
                <w:rFonts w:hint="eastAsia" w:ascii="仿宋" w:hAnsi="仿宋" w:eastAsia="仿宋" w:cs="仿宋"/>
                <w:bCs/>
                <w:color w:val="000000"/>
                <w:sz w:val="24"/>
                <w:highlight w:val="none"/>
              </w:rPr>
              <w:t>投标人拟投入的</w:t>
            </w:r>
            <w:r>
              <w:rPr>
                <w:rFonts w:hint="eastAsia" w:ascii="仿宋" w:hAnsi="仿宋" w:eastAsia="仿宋" w:cs="仿宋"/>
                <w:bCs/>
                <w:color w:val="000000"/>
                <w:sz w:val="24"/>
                <w:highlight w:val="none"/>
                <w:lang w:val="en-US" w:eastAsia="zh-CN"/>
              </w:rPr>
              <w:t>运输</w:t>
            </w:r>
            <w:r>
              <w:rPr>
                <w:rFonts w:hint="eastAsia" w:ascii="仿宋" w:hAnsi="仿宋" w:eastAsia="仿宋" w:cs="仿宋"/>
                <w:bCs/>
                <w:color w:val="000000"/>
                <w:sz w:val="24"/>
                <w:highlight w:val="none"/>
              </w:rPr>
              <w:t>车辆及配送人员配置</w:t>
            </w:r>
            <w:r>
              <w:rPr>
                <w:rFonts w:hint="eastAsia" w:ascii="仿宋" w:hAnsi="仿宋" w:eastAsia="仿宋" w:cs="仿宋"/>
                <w:bCs/>
                <w:color w:val="000000"/>
                <w:sz w:val="24"/>
                <w:highlight w:val="none"/>
                <w:lang w:val="en-US" w:eastAsia="zh-CN"/>
              </w:rPr>
              <w:t>情况，</w:t>
            </w:r>
            <w:r>
              <w:rPr>
                <w:rFonts w:hint="eastAsia" w:ascii="仿宋" w:hAnsi="仿宋" w:eastAsia="仿宋" w:cs="仿宋"/>
                <w:sz w:val="24"/>
                <w:szCs w:val="24"/>
                <w:highlight w:val="none"/>
                <w:lang w:val="en-US" w:eastAsia="zh-CN"/>
              </w:rPr>
              <w:t>0-3分，</w:t>
            </w:r>
            <w:r>
              <w:rPr>
                <w:rFonts w:hint="eastAsia" w:ascii="仿宋" w:hAnsi="仿宋" w:eastAsia="仿宋" w:cs="仿宋"/>
                <w:sz w:val="24"/>
                <w:szCs w:val="24"/>
                <w:highlight w:val="none"/>
              </w:rPr>
              <w:t>不提供不得分。</w:t>
            </w:r>
            <w:r>
              <w:rPr>
                <w:rFonts w:hint="eastAsia" w:ascii="仿宋" w:hAnsi="仿宋" w:eastAsia="仿宋" w:cs="仿宋"/>
                <w:b/>
                <w:bCs w:val="0"/>
                <w:color w:val="000000"/>
                <w:sz w:val="24"/>
                <w:highlight w:val="none"/>
                <w:lang w:val="en-US" w:eastAsia="zh-CN"/>
              </w:rPr>
              <w:t>（提供配送车辆行驶证或车辆租赁证明材料等）</w:t>
            </w:r>
          </w:p>
        </w:tc>
        <w:tc>
          <w:tcPr>
            <w:tcW w:w="662" w:type="dxa"/>
            <w:noWrap w:val="0"/>
            <w:vAlign w:val="center"/>
          </w:tcPr>
          <w:p>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售后服务</w:t>
            </w:r>
          </w:p>
        </w:tc>
        <w:tc>
          <w:tcPr>
            <w:tcW w:w="6986" w:type="dxa"/>
            <w:noWrap w:val="0"/>
            <w:vAlign w:val="center"/>
          </w:tcPr>
          <w:p>
            <w:pPr>
              <w:spacing w:line="400" w:lineRule="exact"/>
              <w:ind w:left="71" w:leftChars="34" w:right="71" w:rightChars="34" w:firstLine="1"/>
              <w:rPr>
                <w:rFonts w:hint="eastAsia" w:ascii="仿宋" w:hAnsi="仿宋" w:eastAsia="仿宋" w:cs="仿宋"/>
                <w:sz w:val="24"/>
                <w:szCs w:val="24"/>
                <w:highlight w:val="none"/>
              </w:rPr>
            </w:pPr>
            <w:r>
              <w:rPr>
                <w:rFonts w:hint="eastAsia" w:ascii="仿宋" w:hAnsi="仿宋" w:eastAsia="仿宋" w:cs="仿宋"/>
                <w:sz w:val="24"/>
                <w:szCs w:val="24"/>
                <w:highlight w:val="none"/>
              </w:rPr>
              <w:t>根据投标单位质量保证和售后服务情况</w:t>
            </w:r>
            <w:r>
              <w:rPr>
                <w:rFonts w:hint="eastAsia" w:ascii="仿宋" w:hAnsi="仿宋" w:eastAsia="仿宋" w:cs="仿宋"/>
                <w:sz w:val="24"/>
                <w:szCs w:val="24"/>
                <w:highlight w:val="none"/>
                <w:lang w:val="en-US" w:eastAsia="zh-CN"/>
              </w:rPr>
              <w:t>等打分</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0-8分，</w:t>
            </w:r>
            <w:r>
              <w:rPr>
                <w:rFonts w:hint="eastAsia" w:ascii="仿宋" w:hAnsi="仿宋" w:eastAsia="仿宋" w:cs="仿宋"/>
                <w:sz w:val="24"/>
                <w:szCs w:val="24"/>
                <w:highlight w:val="none"/>
              </w:rPr>
              <w:t>不提供不得分。</w:t>
            </w:r>
          </w:p>
        </w:tc>
        <w:tc>
          <w:tcPr>
            <w:tcW w:w="662" w:type="dxa"/>
            <w:noWrap w:val="0"/>
            <w:vAlign w:val="center"/>
          </w:tcPr>
          <w:p>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公司业绩</w:t>
            </w:r>
          </w:p>
        </w:tc>
        <w:tc>
          <w:tcPr>
            <w:tcW w:w="6986" w:type="dxa"/>
            <w:noWrap w:val="0"/>
            <w:vAlign w:val="center"/>
          </w:tcPr>
          <w:p>
            <w:pPr>
              <w:spacing w:line="400" w:lineRule="exact"/>
              <w:ind w:left="71" w:leftChars="34" w:right="71" w:rightChars="34" w:firstLine="1"/>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年1月</w:t>
            </w:r>
            <w:r>
              <w:rPr>
                <w:rFonts w:hint="eastAsia" w:ascii="仿宋" w:hAnsi="仿宋" w:eastAsia="仿宋" w:cs="仿宋"/>
                <w:color w:val="auto"/>
                <w:sz w:val="24"/>
                <w:szCs w:val="24"/>
                <w:highlight w:val="none"/>
                <w:lang w:val="en-US" w:eastAsia="zh-CN"/>
              </w:rPr>
              <w:t>1日</w:t>
            </w:r>
            <w:r>
              <w:rPr>
                <w:rFonts w:hint="eastAsia" w:ascii="仿宋" w:hAnsi="仿宋" w:eastAsia="仿宋" w:cs="仿宋"/>
                <w:color w:val="auto"/>
                <w:sz w:val="24"/>
                <w:szCs w:val="24"/>
                <w:highlight w:val="none"/>
              </w:rPr>
              <w:t>（以合同签订时间为准）至今承接过</w:t>
            </w:r>
            <w:r>
              <w:rPr>
                <w:rFonts w:hint="default" w:ascii="仿宋" w:hAnsi="仿宋" w:eastAsia="仿宋" w:cs="仿宋"/>
                <w:color w:val="auto"/>
                <w:sz w:val="24"/>
                <w:szCs w:val="24"/>
                <w:highlight w:val="none"/>
              </w:rPr>
              <w:t>类似</w:t>
            </w:r>
            <w:r>
              <w:rPr>
                <w:rFonts w:hint="eastAsia" w:ascii="仿宋" w:hAnsi="仿宋" w:eastAsia="仿宋" w:cs="仿宋"/>
                <w:color w:val="auto"/>
                <w:sz w:val="24"/>
                <w:szCs w:val="24"/>
                <w:highlight w:val="none"/>
              </w:rPr>
              <w:t>产品成功案例合同的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每有1份得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b/>
                <w:bCs/>
                <w:color w:val="auto"/>
                <w:sz w:val="24"/>
                <w:szCs w:val="24"/>
                <w:highlight w:val="none"/>
                <w:lang w:eastAsia="zh-CN"/>
              </w:rPr>
              <w:t>（需提供中标通知书及合同</w:t>
            </w:r>
            <w:r>
              <w:rPr>
                <w:rFonts w:hint="eastAsia" w:ascii="仿宋" w:hAnsi="仿宋" w:eastAsia="仿宋" w:cs="仿宋"/>
                <w:b/>
                <w:bCs/>
                <w:color w:val="auto"/>
                <w:sz w:val="24"/>
                <w:szCs w:val="24"/>
                <w:highlight w:val="none"/>
                <w:lang w:val="en-US" w:eastAsia="zh-CN"/>
              </w:rPr>
              <w:t>复印件加盖公章</w:t>
            </w:r>
            <w:r>
              <w:rPr>
                <w:rFonts w:hint="eastAsia" w:ascii="仿宋" w:hAnsi="仿宋" w:eastAsia="仿宋" w:cs="仿宋"/>
                <w:b/>
                <w:bCs/>
                <w:color w:val="auto"/>
                <w:sz w:val="24"/>
                <w:szCs w:val="24"/>
                <w:highlight w:val="none"/>
                <w:lang w:eastAsia="zh-CN"/>
              </w:rPr>
              <w:t>，否则不</w:t>
            </w:r>
            <w:r>
              <w:rPr>
                <w:rFonts w:hint="eastAsia" w:ascii="仿宋" w:hAnsi="仿宋" w:eastAsia="仿宋" w:cs="仿宋"/>
                <w:b/>
                <w:bCs/>
                <w:color w:val="auto"/>
                <w:sz w:val="24"/>
                <w:szCs w:val="24"/>
                <w:highlight w:val="none"/>
                <w:lang w:val="en-US" w:eastAsia="zh-CN"/>
              </w:rPr>
              <w:t>得分</w:t>
            </w:r>
            <w:r>
              <w:rPr>
                <w:rFonts w:hint="eastAsia" w:ascii="仿宋" w:hAnsi="仿宋" w:eastAsia="仿宋" w:cs="仿宋"/>
                <w:b/>
                <w:bCs/>
                <w:color w:val="auto"/>
                <w:sz w:val="24"/>
                <w:szCs w:val="24"/>
                <w:highlight w:val="none"/>
                <w:lang w:eastAsia="zh-CN"/>
              </w:rPr>
              <w:t>）</w:t>
            </w:r>
          </w:p>
        </w:tc>
        <w:tc>
          <w:tcPr>
            <w:tcW w:w="662" w:type="dxa"/>
            <w:noWrap w:val="0"/>
            <w:vAlign w:val="center"/>
          </w:tcPr>
          <w:p>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pPr>
              <w:spacing w:line="400" w:lineRule="exact"/>
              <w:jc w:val="cente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highlight w:val="none"/>
                <w:lang w:val="en-US" w:eastAsia="zh-CN"/>
              </w:rPr>
              <w:t>优惠服务方案</w:t>
            </w:r>
          </w:p>
        </w:tc>
        <w:tc>
          <w:tcPr>
            <w:tcW w:w="6986" w:type="dxa"/>
            <w:noWrap w:val="0"/>
            <w:vAlign w:val="center"/>
          </w:tcPr>
          <w:p>
            <w:pPr>
              <w:spacing w:line="400" w:lineRule="exact"/>
              <w:ind w:left="71" w:leftChars="34" w:right="71" w:rightChars="34" w:firstLine="1"/>
              <w:rPr>
                <w:rFonts w:hint="eastAsia" w:ascii="仿宋" w:hAnsi="仿宋" w:eastAsia="仿宋" w:cs="仿宋"/>
                <w:color w:val="auto"/>
                <w:sz w:val="24"/>
                <w:szCs w:val="24"/>
              </w:rPr>
            </w:pPr>
            <w:r>
              <w:rPr>
                <w:rFonts w:hint="eastAsia" w:ascii="仿宋" w:hAnsi="仿宋" w:eastAsia="仿宋" w:cs="仿宋"/>
                <w:color w:val="auto"/>
                <w:kern w:val="0"/>
                <w:sz w:val="24"/>
              </w:rPr>
              <w:t>根据投标人提供的目录外产品的丰富程度、产品门类、规格型号等情况</w:t>
            </w:r>
            <w:r>
              <w:rPr>
                <w:rFonts w:hint="eastAsia" w:ascii="仿宋" w:hAnsi="仿宋" w:eastAsia="仿宋" w:cs="仿宋"/>
                <w:color w:val="auto"/>
                <w:kern w:val="0"/>
                <w:sz w:val="24"/>
                <w:lang w:val="en-US" w:eastAsia="zh-CN"/>
              </w:rPr>
              <w:t>或者投标人提供的额外优质服务或者优惠方案</w:t>
            </w:r>
            <w:r>
              <w:rPr>
                <w:rFonts w:hint="eastAsia" w:ascii="仿宋" w:hAnsi="仿宋" w:eastAsia="仿宋" w:cs="仿宋"/>
                <w:color w:val="auto"/>
                <w:kern w:val="0"/>
                <w:sz w:val="24"/>
              </w:rPr>
              <w:t>进行综合打分，0-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662" w:type="dxa"/>
            <w:noWrap w:val="0"/>
            <w:vAlign w:val="center"/>
          </w:tcPr>
          <w:p>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r>
    </w:tbl>
    <w:p>
      <w:pPr>
        <w:spacing w:line="360" w:lineRule="auto"/>
        <w:rPr>
          <w:rFonts w:hint="eastAsia" w:ascii="仿宋_GB2312" w:hAnsi="宋体" w:eastAsia="仿宋_GB2312"/>
          <w:b/>
          <w:bCs/>
          <w:iCs/>
          <w:sz w:val="24"/>
        </w:rPr>
      </w:pPr>
      <w:r>
        <w:rPr>
          <w:rFonts w:hint="eastAsia" w:ascii="仿宋_GB2312" w:hAnsi="宋体" w:eastAsia="仿宋_GB2312"/>
          <w:b/>
          <w:bCs/>
          <w:iCs/>
          <w:sz w:val="24"/>
        </w:rPr>
        <w:t>2.2</w:t>
      </w:r>
      <w:r>
        <w:rPr>
          <w:rFonts w:hint="eastAsia" w:ascii="仿宋_GB2312" w:hAnsi="宋体" w:eastAsia="仿宋_GB2312"/>
          <w:b/>
          <w:bCs/>
          <w:iCs/>
          <w:sz w:val="24"/>
          <w:lang w:val="en-US" w:eastAsia="zh-CN"/>
        </w:rPr>
        <w:t xml:space="preserve">  01标、02标</w:t>
      </w:r>
      <w:r>
        <w:rPr>
          <w:rFonts w:hint="eastAsia" w:ascii="仿宋_GB2312" w:hAnsi="宋体" w:eastAsia="仿宋_GB2312"/>
          <w:b/>
          <w:bCs/>
          <w:iCs/>
          <w:sz w:val="24"/>
        </w:rPr>
        <w:t>价格分（30分）</w:t>
      </w:r>
    </w:p>
    <w:p>
      <w:pPr>
        <w:spacing w:line="360" w:lineRule="auto"/>
        <w:rPr>
          <w:rFonts w:hint="eastAsia" w:ascii="仿宋_GB2312" w:hAnsi="宋体" w:eastAsia="仿宋_GB2312"/>
          <w:b w:val="0"/>
          <w:bCs w:val="0"/>
          <w:iCs/>
          <w:sz w:val="24"/>
          <w:highlight w:val="none"/>
        </w:rPr>
      </w:pPr>
      <w:r>
        <w:rPr>
          <w:rFonts w:hint="eastAsia" w:ascii="仿宋_GB2312" w:hAnsi="宋体" w:eastAsia="仿宋_GB2312"/>
          <w:b w:val="0"/>
          <w:bCs w:val="0"/>
          <w:iCs/>
          <w:sz w:val="24"/>
          <w:highlight w:val="none"/>
        </w:rPr>
        <w:t>2.2.1评标基准价：即满足招标文件要求且投标下浮率最高的投标报价为评标基准价，其价格分为满分。</w:t>
      </w:r>
    </w:p>
    <w:p>
      <w:pPr>
        <w:spacing w:line="360" w:lineRule="auto"/>
        <w:rPr>
          <w:rFonts w:hint="eastAsia" w:ascii="仿宋_GB2312" w:hAnsi="宋体" w:eastAsia="仿宋_GB2312"/>
          <w:b w:val="0"/>
          <w:bCs w:val="0"/>
          <w:iCs/>
          <w:sz w:val="24"/>
          <w:highlight w:val="none"/>
        </w:rPr>
      </w:pPr>
      <w:r>
        <w:rPr>
          <w:rFonts w:hint="eastAsia" w:ascii="仿宋_GB2312" w:hAnsi="宋体" w:eastAsia="仿宋_GB2312"/>
          <w:b w:val="0"/>
          <w:bCs w:val="0"/>
          <w:iCs/>
          <w:sz w:val="24"/>
          <w:highlight w:val="none"/>
        </w:rPr>
        <w:t>2.2.2其他投标人的价格分统一按照下列公式计算(保留小数2位)：</w:t>
      </w:r>
    </w:p>
    <w:p>
      <w:pPr>
        <w:spacing w:line="360" w:lineRule="auto"/>
        <w:rPr>
          <w:rFonts w:hint="eastAsia" w:ascii="仿宋_GB2312" w:hAnsi="宋体" w:eastAsia="仿宋_GB2312"/>
          <w:b w:val="0"/>
          <w:bCs w:val="0"/>
          <w:iCs/>
          <w:sz w:val="24"/>
          <w:highlight w:val="none"/>
        </w:rPr>
      </w:pPr>
      <w:r>
        <w:rPr>
          <w:rFonts w:hint="eastAsia" w:ascii="仿宋_GB2312" w:hAnsi="宋体" w:eastAsia="仿宋_GB2312"/>
          <w:b w:val="0"/>
          <w:bCs w:val="0"/>
          <w:iCs/>
          <w:sz w:val="24"/>
          <w:highlight w:val="none"/>
        </w:rPr>
        <w:t xml:space="preserve">投标报价得分=(1-评标基准价）／（1-投标下浮率）×价格权值×100 </w:t>
      </w:r>
    </w:p>
    <w:p>
      <w:pPr>
        <w:spacing w:line="360" w:lineRule="auto"/>
        <w:rPr>
          <w:rFonts w:hint="eastAsia" w:ascii="仿宋_GB2312" w:hAnsi="宋体" w:eastAsia="仿宋_GB2312"/>
          <w:b w:val="0"/>
          <w:bCs w:val="0"/>
          <w:iCs/>
          <w:sz w:val="24"/>
          <w:highlight w:val="none"/>
        </w:rPr>
      </w:pPr>
      <w:r>
        <w:rPr>
          <w:rFonts w:hint="eastAsia" w:ascii="仿宋_GB2312" w:hAnsi="宋体" w:eastAsia="仿宋_GB2312"/>
          <w:b w:val="0"/>
          <w:bCs w:val="0"/>
          <w:iCs/>
          <w:sz w:val="24"/>
          <w:highlight w:val="none"/>
        </w:rPr>
        <w:t>即：投标报价得分=(1-评标基准价）／（1-投标下浮率）×</w:t>
      </w:r>
      <w:r>
        <w:rPr>
          <w:rFonts w:hint="eastAsia" w:ascii="仿宋_GB2312" w:hAnsi="宋体" w:eastAsia="仿宋_GB2312"/>
          <w:b w:val="0"/>
          <w:bCs w:val="0"/>
          <w:iCs/>
          <w:sz w:val="24"/>
          <w:highlight w:val="none"/>
          <w:lang w:val="en-US" w:eastAsia="zh-CN"/>
        </w:rPr>
        <w:t>3</w:t>
      </w:r>
      <w:r>
        <w:rPr>
          <w:rFonts w:hint="eastAsia" w:ascii="仿宋_GB2312" w:hAnsi="宋体" w:eastAsia="仿宋_GB2312"/>
          <w:b w:val="0"/>
          <w:bCs w:val="0"/>
          <w:iCs/>
          <w:sz w:val="24"/>
          <w:highlight w:val="none"/>
        </w:rPr>
        <w:t>0</w:t>
      </w:r>
    </w:p>
    <w:p>
      <w:pPr>
        <w:rPr>
          <w:rFonts w:hint="eastAsia"/>
          <w:color w:val="auto"/>
          <w:highlight w:val="none"/>
        </w:rPr>
      </w:pPr>
    </w:p>
    <w:p>
      <w:pPr>
        <w:rPr>
          <w:rFonts w:hint="eastAsia"/>
          <w:color w:val="auto"/>
          <w:highlight w:val="none"/>
        </w:rPr>
      </w:pPr>
    </w:p>
    <w:p>
      <w:pPr>
        <w:pStyle w:val="81"/>
        <w:rPr>
          <w:rFonts w:hint="eastAsia"/>
          <w:color w:val="auto"/>
          <w:highlight w:val="none"/>
        </w:rPr>
      </w:pPr>
    </w:p>
    <w:p>
      <w:pPr>
        <w:pStyle w:val="81"/>
        <w:rPr>
          <w:rFonts w:hint="eastAsia"/>
          <w:color w:val="auto"/>
          <w:highlight w:val="none"/>
        </w:rPr>
      </w:pPr>
    </w:p>
    <w:p>
      <w:pPr>
        <w:pStyle w:val="81"/>
        <w:rPr>
          <w:rFonts w:hint="eastAsia"/>
          <w:color w:val="auto"/>
          <w:highlight w:val="none"/>
        </w:rPr>
      </w:pPr>
    </w:p>
    <w:p>
      <w:pPr>
        <w:rPr>
          <w:rFonts w:hint="eastAsia"/>
          <w:color w:val="auto"/>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中小企业声明函</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2"/>
        <w:jc w:val="center"/>
        <w:rPr>
          <w:rFonts w:hint="eastAsia" w:ascii="仿宋" w:hAnsi="仿宋" w:eastAsia="仿宋" w:cs="仿宋"/>
          <w:b/>
          <w:bCs/>
          <w:color w:val="auto"/>
          <w:sz w:val="24"/>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2"/>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2"/>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sz w:val="24"/>
          <w:lang w:eastAsia="zh-CN"/>
        </w:rPr>
      </w:pPr>
      <w:r>
        <w:rPr>
          <w:rFonts w:hint="eastAsia" w:ascii="仿宋" w:hAnsi="仿宋" w:eastAsia="仿宋" w:cs="仿宋"/>
          <w:sz w:val="24"/>
        </w:rPr>
        <w:t>（2）中小企业声明函………………………………………………………………（页码）</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bookmarkStart w:id="197" w:name="_GoBack"/>
      <w:bookmarkEnd w:id="197"/>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下浮率（%）</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restart"/>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（小写）</w:t>
            </w:r>
          </w:p>
        </w:tc>
        <w:tc>
          <w:tcPr>
            <w:tcW w:w="7655"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（大写）</w:t>
            </w:r>
          </w:p>
        </w:tc>
        <w:tc>
          <w:tcPr>
            <w:tcW w:w="7655" w:type="dxa"/>
            <w:gridSpan w:val="4"/>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百分之</w:t>
            </w:r>
            <w:r>
              <w:rPr>
                <w:rFonts w:hint="eastAsia" w:ascii="仿宋" w:hAnsi="仿宋" w:eastAsia="仿宋" w:cs="仿宋"/>
                <w:b/>
                <w:bCs/>
                <w:color w:val="auto"/>
                <w:sz w:val="24"/>
                <w:highlight w:val="none"/>
                <w:u w:val="single"/>
                <w:lang w:val="en-US" w:eastAsia="zh-CN"/>
              </w:rPr>
              <w:t xml:space="preserve">    </w:t>
            </w: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2"/>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5"/>
        <w:rPr>
          <w:rFonts w:hint="eastAsia"/>
          <w:color w:val="auto"/>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8" w:name="_Hlk101131882"/>
      <w:r>
        <w:rPr>
          <w:rFonts w:hint="eastAsia" w:ascii="仿宋" w:hAnsi="仿宋" w:eastAsia="仿宋" w:cs="仿宋"/>
          <w:color w:val="auto"/>
          <w:kern w:val="0"/>
          <w:sz w:val="24"/>
          <w:highlight w:val="none"/>
          <w:u w:val="single"/>
        </w:rPr>
        <w:t>联合体成员X,……</w:t>
      </w:r>
      <w:bookmarkEnd w:id="18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91" w:name="OLE_LINK13"/>
      <w:bookmarkStart w:id="192" w:name="OLE_LINK14"/>
      <w:r>
        <w:rPr>
          <w:rFonts w:hint="eastAsia" w:ascii="仿宋" w:hAnsi="仿宋" w:eastAsia="仿宋" w:cs="仿宋"/>
          <w:b/>
          <w:color w:val="auto"/>
          <w:spacing w:val="6"/>
          <w:sz w:val="32"/>
          <w:szCs w:val="32"/>
          <w:highlight w:val="none"/>
        </w:rPr>
        <w:t>残疾人福利性单位声明函</w:t>
      </w:r>
    </w:p>
    <w:bookmarkEnd w:id="191"/>
    <w:bookmarkEnd w:id="19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93" w:name="_Toc91899912"/>
    <w:bookmarkStart w:id="194" w:name="_Toc36110187"/>
    <w:bookmarkStart w:id="195" w:name="_Toc131845147"/>
    <w:bookmarkStart w:id="196" w:name="_Toc164085800"/>
    <w:r>
      <w:rPr>
        <w:rFonts w:hint="eastAsia" w:ascii="仿宋_GB2312" w:eastAsia="仿宋_GB2312"/>
        <w:kern w:val="0"/>
        <w:szCs w:val="21"/>
      </w:rPr>
      <w:t xml:space="preserve"> 页</w:t>
    </w:r>
    <w:bookmarkEnd w:id="193"/>
    <w:bookmarkEnd w:id="194"/>
    <w:bookmarkEnd w:id="195"/>
    <w:bookmarkEnd w:id="19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ZJFY-20240001</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891B04"/>
    <w:multiLevelType w:val="singleLevel"/>
    <w:tmpl w:val="FC891B04"/>
    <w:lvl w:ilvl="0" w:tentative="0">
      <w:start w:val="1"/>
      <w:numFmt w:val="decimal"/>
      <w:lvlText w:val="%1"/>
      <w:lvlJc w:val="left"/>
      <w:pPr>
        <w:tabs>
          <w:tab w:val="left" w:pos="420"/>
        </w:tabs>
        <w:ind w:left="425" w:hanging="425"/>
      </w:pPr>
      <w:rPr>
        <w:rFonts w:hint="default"/>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4765941B"/>
    <w:multiLevelType w:val="singleLevel"/>
    <w:tmpl w:val="4765941B"/>
    <w:lvl w:ilvl="0" w:tentative="0">
      <w:start w:val="1"/>
      <w:numFmt w:val="decimal"/>
      <w:suff w:val="nothing"/>
      <w:lvlText w:val="（%1）"/>
      <w:lvlJc w:val="left"/>
    </w:lvl>
  </w:abstractNum>
  <w:abstractNum w:abstractNumId="4">
    <w:nsid w:val="6ADA4D09"/>
    <w:multiLevelType w:val="singleLevel"/>
    <w:tmpl w:val="6ADA4D09"/>
    <w:lvl w:ilvl="0" w:tentative="0">
      <w:start w:val="1"/>
      <w:numFmt w:val="decimal"/>
      <w:lvlText w:val="%1"/>
      <w:lvlJc w:val="left"/>
      <w:pPr>
        <w:tabs>
          <w:tab w:val="left" w:pos="420"/>
        </w:tabs>
        <w:ind w:left="425" w:hanging="425"/>
      </w:pPr>
      <w:rPr>
        <w:rFont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mViNjA5NWUxOGE3YjVmMjE3ZjJhYTM5NWVlMmIifQ=="/>
  </w:docVars>
  <w:rsids>
    <w:rsidRoot w:val="00172A27"/>
    <w:rsid w:val="00431B3B"/>
    <w:rsid w:val="04C924C0"/>
    <w:rsid w:val="0B1B59E3"/>
    <w:rsid w:val="0CAE4D39"/>
    <w:rsid w:val="0F096B8F"/>
    <w:rsid w:val="0F63063F"/>
    <w:rsid w:val="10B666D7"/>
    <w:rsid w:val="17116408"/>
    <w:rsid w:val="18E60774"/>
    <w:rsid w:val="1D2F1C3B"/>
    <w:rsid w:val="1E2542A3"/>
    <w:rsid w:val="27D50B6B"/>
    <w:rsid w:val="2DBE3E50"/>
    <w:rsid w:val="30CD01D9"/>
    <w:rsid w:val="337D0F55"/>
    <w:rsid w:val="35C63E49"/>
    <w:rsid w:val="374D2342"/>
    <w:rsid w:val="37E846FD"/>
    <w:rsid w:val="427E60E8"/>
    <w:rsid w:val="43D52E1F"/>
    <w:rsid w:val="46D63A5E"/>
    <w:rsid w:val="49547CAB"/>
    <w:rsid w:val="4BEC3078"/>
    <w:rsid w:val="4ECC71BA"/>
    <w:rsid w:val="4F4B3D85"/>
    <w:rsid w:val="4F8E7012"/>
    <w:rsid w:val="57D64409"/>
    <w:rsid w:val="5F561B6F"/>
    <w:rsid w:val="5F57E5CA"/>
    <w:rsid w:val="608B5AEC"/>
    <w:rsid w:val="669C35D3"/>
    <w:rsid w:val="69546167"/>
    <w:rsid w:val="6AFF4E74"/>
    <w:rsid w:val="6E093496"/>
    <w:rsid w:val="6FC37AD4"/>
    <w:rsid w:val="70321E3A"/>
    <w:rsid w:val="734325A8"/>
    <w:rsid w:val="74A9072E"/>
    <w:rsid w:val="755E4A17"/>
    <w:rsid w:val="75FB438B"/>
    <w:rsid w:val="78AD1F79"/>
    <w:rsid w:val="7DFF3A1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qFormat/>
    <w:uiPriority w:val="1"/>
  </w:style>
  <w:style w:type="table" w:default="1" w:styleId="64">
    <w:name w:val="Normal Table"/>
    <w:autoRedefine/>
    <w:qFormat/>
    <w:uiPriority w:val="99"/>
    <w:tblPr>
      <w:tblCellMar>
        <w:top w:w="0" w:type="dxa"/>
        <w:left w:w="108" w:type="dxa"/>
        <w:bottom w:w="0" w:type="dxa"/>
        <w:right w:w="108" w:type="dxa"/>
      </w:tblCellMar>
    </w:tblPr>
  </w:style>
  <w:style w:type="paragraph" w:customStyle="1" w:styleId="2">
    <w:name w:val="Default"/>
    <w:next w:val="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1"/>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4"/>
    <w:autoRedefine/>
    <w:qFormat/>
    <w:uiPriority w:val="0"/>
    <w:pPr>
      <w:shd w:val="clear" w:color="auto" w:fill="000080"/>
    </w:pPr>
  </w:style>
  <w:style w:type="paragraph" w:styleId="21">
    <w:name w:val="annotation text"/>
    <w:basedOn w:val="1"/>
    <w:link w:val="345"/>
    <w:autoRedefine/>
    <w:qFormat/>
    <w:uiPriority w:val="99"/>
    <w:pPr>
      <w:jc w:val="left"/>
    </w:pPr>
  </w:style>
  <w:style w:type="paragraph" w:styleId="22">
    <w:name w:val="Salutation"/>
    <w:basedOn w:val="1"/>
    <w:next w:val="1"/>
    <w:link w:val="299"/>
    <w:autoRedefine/>
    <w:qFormat/>
    <w:uiPriority w:val="0"/>
    <w:rPr>
      <w:rFonts w:ascii="仿宋_GB2312" w:eastAsia="仿宋_GB2312"/>
      <w:sz w:val="28"/>
      <w:szCs w:val="20"/>
    </w:rPr>
  </w:style>
  <w:style w:type="paragraph" w:styleId="23">
    <w:name w:val="Body Text 3"/>
    <w:basedOn w:val="1"/>
    <w:link w:val="331"/>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next w:val="1"/>
    <w:link w:val="266"/>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7"/>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8"/>
    <w:autoRedefine/>
    <w:qFormat/>
    <w:uiPriority w:val="0"/>
    <w:rPr>
      <w:b/>
      <w:bCs/>
    </w:rPr>
  </w:style>
  <w:style w:type="paragraph" w:styleId="62">
    <w:name w:val="Body Text First Indent"/>
    <w:basedOn w:val="25"/>
    <w:next w:val="1"/>
    <w:link w:val="322"/>
    <w:autoRedefine/>
    <w:qFormat/>
    <w:uiPriority w:val="0"/>
    <w:pPr>
      <w:ind w:firstLine="420"/>
    </w:pPr>
    <w:rPr>
      <w:rFonts w:hAnsi="Calibri" w:cs="Times New Roman"/>
      <w:snapToGrid/>
      <w:szCs w:val="20"/>
    </w:rPr>
  </w:style>
  <w:style w:type="paragraph" w:styleId="63">
    <w:name w:val="Body Text First Indent 2"/>
    <w:basedOn w:val="26"/>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82">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customStyle="1" w:styleId="83">
    <w:name w:val="首行缩进"/>
    <w:basedOn w:val="1"/>
    <w:autoRedefine/>
    <w:qFormat/>
    <w:uiPriority w:val="0"/>
    <w:pPr>
      <w:spacing w:line="360" w:lineRule="auto"/>
      <w:ind w:firstLine="480" w:firstLineChars="200"/>
    </w:pPr>
    <w:rPr>
      <w:rFonts w:ascii="宋体"/>
      <w:sz w:val="24"/>
      <w:szCs w:val="20"/>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29dca83e-cfa0-4d29-9006-28a1b752e563"/>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10"/>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5"/>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7"/>
    <w:autoRedefine/>
    <w:qFormat/>
    <w:uiPriority w:val="0"/>
    <w:rPr>
      <w:rFonts w:ascii="宋体"/>
      <w:kern w:val="2"/>
      <w:sz w:val="24"/>
      <w:szCs w:val="21"/>
      <w:lang w:val="zh-CN"/>
    </w:rPr>
  </w:style>
  <w:style w:type="character" w:customStyle="1" w:styleId="184">
    <w:name w:val="标题 9 Char"/>
    <w:link w:val="13"/>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99"/>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7"/>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20"/>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8"/>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8"/>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6"/>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4"/>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9"/>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2"/>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8"/>
    <w:autoRedefine/>
    <w:qFormat/>
    <w:uiPriority w:val="0"/>
    <w:rPr>
      <w:rFonts w:ascii="黑体" w:hAnsi="Courier New" w:eastAsia="黑体"/>
    </w:rPr>
  </w:style>
  <w:style w:type="character" w:customStyle="1" w:styleId="303">
    <w:name w:val="正文文本 2 Char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8"/>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11"/>
    <w:autoRedefine/>
    <w:qFormat/>
    <w:uiPriority w:val="0"/>
    <w:rPr>
      <w:b/>
      <w:bCs/>
      <w:kern w:val="2"/>
      <w:sz w:val="24"/>
      <w:szCs w:val="24"/>
    </w:rPr>
  </w:style>
  <w:style w:type="character" w:customStyle="1" w:styleId="309">
    <w:name w:val="正文文本缩进 2 Char"/>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8"/>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3"/>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1"/>
    <w:autoRedefine/>
    <w:qFormat/>
    <w:uiPriority w:val="99"/>
    <w:rPr>
      <w:kern w:val="2"/>
      <w:sz w:val="21"/>
      <w:szCs w:val="24"/>
    </w:rPr>
  </w:style>
  <w:style w:type="character" w:customStyle="1" w:styleId="346">
    <w:name w:val="签名 Char"/>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2"/>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1"/>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7"/>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1"/>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5"/>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6"/>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9"/>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6"/>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8"/>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
    <w:next w:val="2"/>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
    <w:next w:val="2"/>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MM Topic 1"/>
    <w:basedOn w:val="4"/>
    <w:autoRedefine/>
    <w:qFormat/>
    <w:uiPriority w:val="0"/>
    <w:pPr>
      <w:tabs>
        <w:tab w:val="left" w:pos="840"/>
      </w:tabs>
      <w:adjustRightInd/>
      <w:ind w:left="840" w:hanging="420"/>
    </w:pPr>
  </w:style>
  <w:style w:type="paragraph" w:customStyle="1" w:styleId="626">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6"/>
    <w:next w:val="54"/>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81"/>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0"/>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9"/>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autoRedefine/>
    <w:qFormat/>
    <w:uiPriority w:val="0"/>
    <w:pPr>
      <w:tabs>
        <w:tab w:val="left" w:pos="1080"/>
      </w:tabs>
      <w:ind w:left="1080" w:hanging="1080"/>
    </w:pPr>
  </w:style>
  <w:style w:type="paragraph" w:customStyle="1" w:styleId="895">
    <w:name w:val="数字标题1"/>
    <w:basedOn w:val="4"/>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4"/>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3"/>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9"/>
    <w:autoRedefine/>
    <w:qFormat/>
    <w:uiPriority w:val="0"/>
    <w:rPr>
      <w:kern w:val="2"/>
      <w:sz w:val="21"/>
      <w:szCs w:val="24"/>
      <w:lang w:val="zh-CN"/>
    </w:rPr>
  </w:style>
  <w:style w:type="character" w:customStyle="1" w:styleId="931">
    <w:name w:val="无间隔 Char"/>
    <w:link w:val="484"/>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9"/>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0</TotalTime>
  <ScaleCrop>false</ScaleCrop>
  <LinksUpToDate>false</LinksUpToDate>
  <CharactersWithSpaces>50218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WW</cp:lastModifiedBy>
  <cp:lastPrinted>2021-12-28T19:06:00Z</cp:lastPrinted>
  <dcterms:modified xsi:type="dcterms:W3CDTF">2024-03-04T05:46:09Z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83C20EF060F344128132414FF4375267_13</vt:lpwstr>
  </property>
</Properties>
</file>